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6DBE5">
      <w:pPr>
        <w:spacing w:line="360" w:lineRule="auto"/>
        <w:jc w:val="center"/>
        <w:rPr>
          <w:rFonts w:ascii="宋体"/>
          <w:color w:val="auto"/>
          <w:sz w:val="28"/>
          <w:highlight w:val="none"/>
        </w:rPr>
      </w:pPr>
      <w:r>
        <w:rPr>
          <w:rFonts w:hint="eastAsia" w:ascii="宋体"/>
          <w:color w:val="auto"/>
          <w:sz w:val="28"/>
          <w:highlight w:val="none"/>
        </w:rPr>
        <w:t xml:space="preserve"> </w:t>
      </w:r>
    </w:p>
    <w:p w14:paraId="581E7156">
      <w:pPr>
        <w:spacing w:line="360" w:lineRule="auto"/>
        <w:jc w:val="center"/>
        <w:rPr>
          <w:rFonts w:ascii="宋体"/>
          <w:b/>
          <w:bCs/>
          <w:color w:val="auto"/>
          <w:sz w:val="36"/>
          <w:highlight w:val="none"/>
        </w:rPr>
      </w:pPr>
    </w:p>
    <w:p w14:paraId="40799769">
      <w:pPr>
        <w:spacing w:line="360" w:lineRule="auto"/>
        <w:jc w:val="center"/>
        <w:rPr>
          <w:rFonts w:hint="eastAsia" w:ascii="宋体" w:hAnsi="宋体"/>
          <w:b/>
          <w:bCs/>
          <w:color w:val="auto"/>
          <w:sz w:val="52"/>
          <w:szCs w:val="52"/>
          <w:highlight w:val="none"/>
          <w:lang w:eastAsia="zh-CN"/>
        </w:rPr>
      </w:pPr>
      <w:r>
        <w:rPr>
          <w:rFonts w:hint="eastAsia" w:ascii="宋体" w:hAnsi="宋体"/>
          <w:b/>
          <w:bCs/>
          <w:color w:val="auto"/>
          <w:sz w:val="52"/>
          <w:szCs w:val="52"/>
          <w:highlight w:val="none"/>
          <w:lang w:eastAsia="zh-CN"/>
        </w:rPr>
        <w:t>2025年扬州市疾病预防控制中心工会委员会观影券项目</w:t>
      </w:r>
    </w:p>
    <w:p w14:paraId="794A1922">
      <w:pPr>
        <w:pStyle w:val="39"/>
        <w:ind w:left="0" w:leftChars="0" w:firstLine="0" w:firstLineChars="0"/>
        <w:rPr>
          <w:rFonts w:hint="eastAsia"/>
          <w:sz w:val="52"/>
          <w:szCs w:val="52"/>
          <w:lang w:eastAsia="zh-CN"/>
        </w:rPr>
      </w:pPr>
    </w:p>
    <w:p w14:paraId="4288B089">
      <w:pPr>
        <w:spacing w:line="360" w:lineRule="auto"/>
        <w:jc w:val="center"/>
        <w:rPr>
          <w:rFonts w:hint="eastAsia" w:ascii="宋体" w:hAnsi="宋体"/>
          <w:b/>
          <w:bCs/>
          <w:color w:val="auto"/>
          <w:sz w:val="52"/>
          <w:szCs w:val="52"/>
          <w:highlight w:val="none"/>
        </w:rPr>
      </w:pPr>
      <w:r>
        <w:rPr>
          <w:rFonts w:hint="eastAsia" w:ascii="宋体" w:hAnsi="宋体"/>
          <w:b/>
          <w:bCs/>
          <w:color w:val="auto"/>
          <w:sz w:val="52"/>
          <w:szCs w:val="52"/>
          <w:highlight w:val="none"/>
        </w:rPr>
        <w:t>竞</w:t>
      </w:r>
    </w:p>
    <w:p w14:paraId="11FBECE8">
      <w:pPr>
        <w:spacing w:line="360" w:lineRule="auto"/>
        <w:jc w:val="center"/>
        <w:rPr>
          <w:rFonts w:hint="eastAsia" w:ascii="宋体" w:hAnsi="宋体"/>
          <w:b/>
          <w:bCs/>
          <w:color w:val="auto"/>
          <w:sz w:val="52"/>
          <w:szCs w:val="52"/>
          <w:highlight w:val="none"/>
        </w:rPr>
      </w:pPr>
      <w:r>
        <w:rPr>
          <w:rFonts w:hint="eastAsia" w:ascii="宋体" w:hAnsi="宋体"/>
          <w:b/>
          <w:bCs/>
          <w:color w:val="auto"/>
          <w:sz w:val="52"/>
          <w:szCs w:val="52"/>
          <w:highlight w:val="none"/>
        </w:rPr>
        <w:t>争</w:t>
      </w:r>
    </w:p>
    <w:p w14:paraId="74417879">
      <w:pPr>
        <w:spacing w:line="360" w:lineRule="auto"/>
        <w:jc w:val="center"/>
        <w:rPr>
          <w:rFonts w:hint="eastAsia" w:ascii="宋体" w:hAnsi="宋体"/>
          <w:b/>
          <w:bCs/>
          <w:color w:val="auto"/>
          <w:sz w:val="52"/>
          <w:szCs w:val="52"/>
          <w:highlight w:val="none"/>
        </w:rPr>
      </w:pPr>
      <w:r>
        <w:rPr>
          <w:rFonts w:hint="eastAsia" w:ascii="宋体" w:hAnsi="宋体"/>
          <w:b/>
          <w:bCs/>
          <w:color w:val="auto"/>
          <w:sz w:val="52"/>
          <w:szCs w:val="52"/>
          <w:highlight w:val="none"/>
        </w:rPr>
        <w:t>性</w:t>
      </w:r>
    </w:p>
    <w:p w14:paraId="4CC21B38">
      <w:pPr>
        <w:spacing w:line="360" w:lineRule="auto"/>
        <w:jc w:val="center"/>
        <w:rPr>
          <w:rFonts w:hint="eastAsia" w:ascii="宋体" w:hAnsi="宋体"/>
          <w:b/>
          <w:bCs/>
          <w:color w:val="auto"/>
          <w:sz w:val="52"/>
          <w:szCs w:val="52"/>
          <w:highlight w:val="none"/>
        </w:rPr>
      </w:pPr>
      <w:r>
        <w:rPr>
          <w:rFonts w:hint="eastAsia" w:ascii="宋体" w:hAnsi="宋体"/>
          <w:b/>
          <w:bCs/>
          <w:color w:val="auto"/>
          <w:sz w:val="52"/>
          <w:szCs w:val="52"/>
          <w:highlight w:val="none"/>
        </w:rPr>
        <w:t>磋</w:t>
      </w:r>
    </w:p>
    <w:p w14:paraId="55A3C9BF">
      <w:pPr>
        <w:spacing w:line="360" w:lineRule="auto"/>
        <w:jc w:val="center"/>
        <w:rPr>
          <w:rFonts w:hint="eastAsia" w:ascii="宋体" w:hAnsi="宋体"/>
          <w:b/>
          <w:bCs/>
          <w:color w:val="auto"/>
          <w:sz w:val="52"/>
          <w:szCs w:val="52"/>
          <w:highlight w:val="none"/>
        </w:rPr>
      </w:pPr>
      <w:r>
        <w:rPr>
          <w:rFonts w:hint="eastAsia" w:ascii="宋体" w:hAnsi="宋体"/>
          <w:b/>
          <w:bCs/>
          <w:color w:val="auto"/>
          <w:sz w:val="52"/>
          <w:szCs w:val="52"/>
          <w:highlight w:val="none"/>
        </w:rPr>
        <w:t>商</w:t>
      </w:r>
    </w:p>
    <w:p w14:paraId="4A37BC7D">
      <w:pPr>
        <w:spacing w:line="360" w:lineRule="auto"/>
        <w:jc w:val="center"/>
        <w:rPr>
          <w:rFonts w:hint="eastAsia" w:ascii="宋体" w:hAnsi="宋体"/>
          <w:b/>
          <w:bCs/>
          <w:color w:val="auto"/>
          <w:sz w:val="52"/>
          <w:szCs w:val="52"/>
          <w:highlight w:val="none"/>
        </w:rPr>
      </w:pPr>
      <w:r>
        <w:rPr>
          <w:rFonts w:hint="eastAsia" w:ascii="宋体" w:hAnsi="宋体"/>
          <w:b/>
          <w:bCs/>
          <w:color w:val="auto"/>
          <w:sz w:val="52"/>
          <w:szCs w:val="52"/>
          <w:highlight w:val="none"/>
        </w:rPr>
        <w:t>文</w:t>
      </w:r>
    </w:p>
    <w:p w14:paraId="25434A93">
      <w:pPr>
        <w:spacing w:line="360" w:lineRule="auto"/>
        <w:jc w:val="center"/>
        <w:rPr>
          <w:rFonts w:ascii="宋体"/>
          <w:b/>
          <w:bCs/>
          <w:color w:val="auto"/>
          <w:sz w:val="52"/>
          <w:szCs w:val="52"/>
          <w:highlight w:val="none"/>
        </w:rPr>
      </w:pPr>
      <w:r>
        <w:rPr>
          <w:rFonts w:hint="eastAsia" w:ascii="宋体" w:hAnsi="宋体"/>
          <w:b/>
          <w:bCs/>
          <w:color w:val="auto"/>
          <w:sz w:val="52"/>
          <w:szCs w:val="52"/>
          <w:highlight w:val="none"/>
        </w:rPr>
        <w:t>件</w:t>
      </w:r>
    </w:p>
    <w:p w14:paraId="297D0763">
      <w:pPr>
        <w:spacing w:line="360" w:lineRule="auto"/>
        <w:jc w:val="center"/>
        <w:rPr>
          <w:rFonts w:ascii="宋体"/>
          <w:color w:val="auto"/>
          <w:sz w:val="36"/>
          <w:highlight w:val="none"/>
        </w:rPr>
      </w:pPr>
    </w:p>
    <w:p w14:paraId="6EDE1CB8">
      <w:pPr>
        <w:spacing w:line="360" w:lineRule="auto"/>
        <w:jc w:val="center"/>
        <w:rPr>
          <w:rFonts w:ascii="宋体"/>
          <w:color w:val="auto"/>
          <w:sz w:val="36"/>
          <w:highlight w:val="none"/>
        </w:rPr>
      </w:pPr>
    </w:p>
    <w:p w14:paraId="038CC8C2">
      <w:pPr>
        <w:spacing w:line="360" w:lineRule="auto"/>
        <w:jc w:val="center"/>
        <w:rPr>
          <w:rFonts w:ascii="宋体"/>
          <w:color w:val="auto"/>
          <w:sz w:val="36"/>
          <w:highlight w:val="none"/>
        </w:rPr>
      </w:pPr>
    </w:p>
    <w:p w14:paraId="28E8E090">
      <w:pPr>
        <w:spacing w:line="360" w:lineRule="auto"/>
        <w:jc w:val="center"/>
        <w:rPr>
          <w:rFonts w:ascii="宋体"/>
          <w:color w:val="auto"/>
          <w:sz w:val="36"/>
          <w:highlight w:val="none"/>
        </w:rPr>
      </w:pPr>
    </w:p>
    <w:p w14:paraId="3A0B6FEA">
      <w:pPr>
        <w:spacing w:line="360" w:lineRule="auto"/>
        <w:jc w:val="center"/>
        <w:rPr>
          <w:rFonts w:ascii="宋体"/>
          <w:color w:val="auto"/>
          <w:sz w:val="28"/>
          <w:highlight w:val="none"/>
        </w:rPr>
      </w:pPr>
      <w:bookmarkStart w:id="0" w:name="_Toc497145839"/>
    </w:p>
    <w:bookmarkEnd w:id="0"/>
    <w:p w14:paraId="193497EE">
      <w:pPr>
        <w:pStyle w:val="2"/>
        <w:spacing w:line="240" w:lineRule="auto"/>
        <w:jc w:val="center"/>
        <w:rPr>
          <w:rFonts w:ascii="宋体" w:hAnsi="宋体"/>
          <w:color w:val="auto"/>
          <w:sz w:val="36"/>
          <w:highlight w:val="none"/>
        </w:rPr>
      </w:pPr>
      <w:bookmarkStart w:id="1" w:name="_Toc497145840"/>
      <w:bookmarkStart w:id="2" w:name="_Toc35393805"/>
      <w:bookmarkStart w:id="3" w:name="_Toc28359018"/>
      <w:bookmarkStart w:id="4" w:name="_Toc35393636"/>
      <w:bookmarkStart w:id="5" w:name="_Toc28359095"/>
      <w:r>
        <w:rPr>
          <w:rFonts w:hint="eastAsia" w:ascii="宋体" w:hAnsi="宋体"/>
          <w:color w:val="auto"/>
          <w:sz w:val="36"/>
          <w:highlight w:val="none"/>
        </w:rPr>
        <w:t>第一章</w:t>
      </w:r>
      <w:r>
        <w:rPr>
          <w:rFonts w:ascii="宋体" w:hAnsi="宋体"/>
          <w:color w:val="auto"/>
          <w:sz w:val="36"/>
          <w:highlight w:val="none"/>
        </w:rPr>
        <w:t xml:space="preserve"> 竞争性磋商采购邀请</w:t>
      </w:r>
    </w:p>
    <w:p w14:paraId="2B3839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auto"/>
          <w:sz w:val="21"/>
          <w:szCs w:val="21"/>
          <w:highlight w:val="none"/>
        </w:rPr>
      </w:pPr>
      <w:bookmarkStart w:id="6" w:name="OLE_LINK16"/>
      <w:bookmarkEnd w:id="6"/>
      <w:r>
        <w:rPr>
          <w:rFonts w:hint="eastAsia" w:ascii="宋体" w:hAnsi="宋体"/>
          <w:color w:val="auto"/>
          <w:sz w:val="21"/>
          <w:szCs w:val="21"/>
          <w:highlight w:val="none"/>
          <w:lang w:eastAsia="zh-CN"/>
        </w:rPr>
        <w:t>2025年扬州市疾病预防控制中心工会委员会观影券项目</w:t>
      </w:r>
      <w:r>
        <w:rPr>
          <w:rFonts w:hint="eastAsia" w:ascii="宋体" w:hAnsi="宋体"/>
          <w:color w:val="auto"/>
          <w:sz w:val="21"/>
          <w:szCs w:val="21"/>
          <w:highlight w:val="none"/>
        </w:rPr>
        <w:t>实施竞争性磋商采购，欢迎符合相关条件的供应商参加磋商。</w:t>
      </w:r>
    </w:p>
    <w:p w14:paraId="3842CB14">
      <w:pPr>
        <w:pStyle w:val="3"/>
        <w:numPr>
          <w:ilvl w:val="0"/>
          <w:numId w:val="0"/>
        </w:numPr>
        <w:spacing w:before="0" w:after="0" w:line="360" w:lineRule="auto"/>
        <w:ind w:left="0" w:leftChars="0" w:firstLine="420" w:firstLineChars="0"/>
        <w:jc w:val="both"/>
        <w:rPr>
          <w:rFonts w:hint="eastAsia" w:ascii="宋体" w:hAnsi="宋体" w:cs="宋体"/>
          <w:b/>
          <w:bCs w:val="0"/>
          <w:color w:val="auto"/>
          <w:sz w:val="21"/>
          <w:szCs w:val="21"/>
          <w:highlight w:val="none"/>
        </w:rPr>
      </w:pPr>
      <w:bookmarkStart w:id="7" w:name="_Toc35393629"/>
      <w:bookmarkStart w:id="8" w:name="_Toc28359012"/>
      <w:bookmarkStart w:id="9" w:name="_Toc35393798"/>
      <w:bookmarkStart w:id="10" w:name="_Toc28359089"/>
      <w:r>
        <w:rPr>
          <w:rFonts w:hint="eastAsia" w:ascii="宋体" w:hAnsi="宋体" w:eastAsia="宋体" w:cs="宋体"/>
          <w:b/>
          <w:bCs w:val="0"/>
          <w:color w:val="auto"/>
          <w:kern w:val="0"/>
          <w:sz w:val="21"/>
          <w:szCs w:val="21"/>
          <w:lang w:val="en-US" w:eastAsia="zh-CN" w:bidi="ar-SA"/>
        </w:rPr>
        <w:t>一、</w:t>
      </w:r>
      <w:r>
        <w:rPr>
          <w:rFonts w:hint="eastAsia" w:ascii="宋体" w:hAnsi="宋体" w:cs="宋体"/>
          <w:b/>
          <w:bCs w:val="0"/>
          <w:color w:val="auto"/>
          <w:sz w:val="21"/>
          <w:szCs w:val="21"/>
          <w:highlight w:val="none"/>
        </w:rPr>
        <w:t>项目基本情况</w:t>
      </w:r>
      <w:bookmarkEnd w:id="7"/>
      <w:bookmarkEnd w:id="8"/>
      <w:bookmarkEnd w:id="9"/>
      <w:bookmarkEnd w:id="10"/>
    </w:p>
    <w:p w14:paraId="29C8D711">
      <w:pPr>
        <w:pStyle w:val="41"/>
        <w:ind w:left="0" w:leftChars="0" w:firstLine="0" w:firstLineChars="0"/>
        <w:rPr>
          <w:rFonts w:hint="default"/>
          <w:lang w:val="en-US" w:eastAsia="zh-CN"/>
        </w:rPr>
      </w:pPr>
      <w:r>
        <w:rPr>
          <w:rFonts w:hint="eastAsia"/>
          <w:lang w:val="en-US" w:eastAsia="zh-CN"/>
        </w:rPr>
        <w:t xml:space="preserve">    项目编号：YZCDC20250701</w:t>
      </w:r>
    </w:p>
    <w:p w14:paraId="79023787">
      <w:pPr>
        <w:pStyle w:val="41"/>
        <w:ind w:left="0" w:leftChars="0" w:firstLine="420" w:firstLineChars="200"/>
        <w:rPr>
          <w:rFonts w:hint="eastAsia"/>
          <w:lang w:val="en-US" w:eastAsia="zh-CN"/>
        </w:rPr>
      </w:pPr>
      <w:r>
        <w:rPr>
          <w:rFonts w:hint="eastAsia"/>
          <w:lang w:val="en-US" w:eastAsia="zh-CN"/>
        </w:rPr>
        <w:t>项目名称：2025年扬州市疾病预防控制中心工会委员会观影券项目</w:t>
      </w:r>
    </w:p>
    <w:p w14:paraId="609B7CD8">
      <w:pPr>
        <w:pStyle w:val="41"/>
        <w:ind w:left="0" w:leftChars="0" w:firstLine="420" w:firstLineChars="200"/>
        <w:rPr>
          <w:rFonts w:hint="eastAsia"/>
          <w:lang w:val="en-US" w:eastAsia="zh-CN"/>
        </w:rPr>
      </w:pPr>
      <w:r>
        <w:rPr>
          <w:rFonts w:hint="eastAsia"/>
          <w:lang w:val="en-US" w:eastAsia="zh-CN"/>
        </w:rPr>
        <w:t xml:space="preserve">采购方式：竞争性磋商 </w:t>
      </w:r>
    </w:p>
    <w:p w14:paraId="1FF5F126">
      <w:pPr>
        <w:spacing w:line="360" w:lineRule="auto"/>
        <w:ind w:firstLine="420" w:firstLineChars="200"/>
        <w:rPr>
          <w:rStyle w:val="31"/>
          <w:rFonts w:hint="eastAsia" w:ascii="宋体" w:hAnsi="宋体" w:eastAsia="宋体" w:cs="宋体"/>
          <w:b/>
          <w:bCs/>
          <w:i w:val="0"/>
          <w:iCs w:val="0"/>
          <w:caps w:val="0"/>
          <w:color w:val="000000"/>
          <w:spacing w:val="0"/>
          <w:sz w:val="21"/>
          <w:szCs w:val="21"/>
          <w:lang w:val="en-US" w:eastAsia="zh-CN"/>
        </w:rPr>
      </w:pPr>
      <w:r>
        <w:rPr>
          <w:rFonts w:hint="eastAsia"/>
          <w:lang w:val="en-US" w:eastAsia="zh-CN"/>
        </w:rPr>
        <w:t>预算金额：</w:t>
      </w:r>
      <w:r>
        <w:rPr>
          <w:rFonts w:hint="eastAsia" w:ascii="宋体" w:hAnsi="宋体" w:cs="宋体"/>
          <w:color w:val="auto"/>
          <w:szCs w:val="21"/>
          <w:highlight w:val="none"/>
        </w:rPr>
        <w:t>项目预算</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价</w:t>
      </w:r>
      <w:r>
        <w:rPr>
          <w:rFonts w:hint="eastAsia" w:ascii="宋体" w:hAnsi="宋体" w:cs="宋体"/>
          <w:color w:val="auto"/>
          <w:szCs w:val="21"/>
          <w:highlight w:val="none"/>
          <w:lang w:val="en-US" w:eastAsia="zh-CN"/>
        </w:rPr>
        <w:t>5.92</w:t>
      </w:r>
      <w:r>
        <w:rPr>
          <w:rFonts w:hint="eastAsia" w:ascii="宋体" w:hAnsi="宋体" w:cs="宋体"/>
          <w:color w:val="auto"/>
          <w:szCs w:val="21"/>
          <w:highlight w:val="none"/>
        </w:rPr>
        <w:t xml:space="preserve">万元人民币，最高限价同预算价，报价超过最高限价的视为无效投标文件 </w:t>
      </w:r>
      <w:r>
        <w:rPr>
          <w:rFonts w:hint="eastAsia" w:ascii="宋体" w:hAnsi="宋体" w:cs="宋体"/>
          <w:color w:val="auto"/>
          <w:szCs w:val="21"/>
          <w:highlight w:val="none"/>
          <w:lang w:eastAsia="zh-CN"/>
        </w:rPr>
        <w:t>。</w:t>
      </w:r>
    </w:p>
    <w:p w14:paraId="61261A2D">
      <w:pPr>
        <w:pStyle w:val="41"/>
        <w:ind w:left="0" w:leftChars="0" w:firstLine="420" w:firstLineChars="200"/>
        <w:rPr>
          <w:rFonts w:hint="eastAsia"/>
          <w:lang w:val="en-US" w:eastAsia="zh-CN"/>
        </w:rPr>
      </w:pPr>
      <w:r>
        <w:rPr>
          <w:rFonts w:hint="eastAsia"/>
          <w:lang w:val="en-US" w:eastAsia="zh-CN"/>
        </w:rPr>
        <w:t>采购需求：详见项目需求</w:t>
      </w:r>
    </w:p>
    <w:p w14:paraId="2BC6E8A8">
      <w:pPr>
        <w:pStyle w:val="41"/>
        <w:ind w:left="0" w:leftChars="0" w:firstLine="420" w:firstLineChars="200"/>
        <w:rPr>
          <w:rFonts w:hint="eastAsia"/>
          <w:lang w:val="en-US" w:eastAsia="zh-CN"/>
        </w:rPr>
      </w:pPr>
      <w:r>
        <w:rPr>
          <w:rFonts w:hint="eastAsia"/>
          <w:lang w:val="en-US" w:eastAsia="zh-CN"/>
        </w:rPr>
        <w:t>合同履行期限：自合同签订之日起</w:t>
      </w:r>
      <w:r>
        <w:rPr>
          <w:rFonts w:hint="eastAsia"/>
          <w:highlight w:val="none"/>
          <w:lang w:val="en-US" w:eastAsia="zh-CN"/>
        </w:rPr>
        <w:t>5</w:t>
      </w:r>
      <w:r>
        <w:rPr>
          <w:rFonts w:hint="eastAsia"/>
          <w:lang w:val="en-US" w:eastAsia="zh-CN"/>
        </w:rPr>
        <w:t>个日历日内完成交付。</w:t>
      </w:r>
    </w:p>
    <w:p w14:paraId="36B36FBE">
      <w:pPr>
        <w:pStyle w:val="41"/>
        <w:ind w:left="0" w:leftChars="0" w:firstLine="420" w:firstLineChars="200"/>
        <w:rPr>
          <w:rFonts w:hint="eastAsia"/>
          <w:lang w:val="en-US" w:eastAsia="zh-CN"/>
        </w:rPr>
      </w:pPr>
      <w:r>
        <w:rPr>
          <w:rFonts w:hint="eastAsia"/>
          <w:lang w:val="en-US" w:eastAsia="zh-CN"/>
        </w:rPr>
        <w:t>本项目不接受联合体。</w:t>
      </w:r>
    </w:p>
    <w:p w14:paraId="2BCDD585">
      <w:pPr>
        <w:pStyle w:val="3"/>
        <w:numPr>
          <w:ilvl w:val="0"/>
          <w:numId w:val="0"/>
        </w:numPr>
        <w:spacing w:before="0" w:after="0" w:line="360" w:lineRule="auto"/>
        <w:ind w:left="0" w:leftChars="0" w:firstLine="420" w:firstLineChars="0"/>
        <w:jc w:val="both"/>
        <w:rPr>
          <w:rFonts w:hint="eastAsia" w:ascii="宋体" w:hAnsi="宋体" w:cs="宋体"/>
          <w:b/>
          <w:bCs w:val="0"/>
          <w:color w:val="auto"/>
          <w:sz w:val="21"/>
          <w:szCs w:val="21"/>
          <w:highlight w:val="yellow"/>
          <w:lang w:val="en-US" w:eastAsia="zh-CN"/>
        </w:rPr>
      </w:pPr>
      <w:r>
        <w:rPr>
          <w:rFonts w:hint="eastAsia" w:ascii="宋体" w:hAnsi="宋体" w:eastAsia="宋体" w:cs="宋体"/>
          <w:b/>
          <w:bCs w:val="0"/>
          <w:color w:val="auto"/>
          <w:kern w:val="0"/>
          <w:sz w:val="21"/>
          <w:szCs w:val="21"/>
          <w:lang w:val="en-US" w:eastAsia="zh-CN" w:bidi="ar-SA"/>
        </w:rPr>
        <w:t>二、</w:t>
      </w:r>
      <w:r>
        <w:rPr>
          <w:rFonts w:hint="eastAsia" w:ascii="宋体" w:hAnsi="宋体" w:cs="宋体"/>
          <w:b/>
          <w:bCs w:val="0"/>
          <w:color w:val="auto"/>
          <w:sz w:val="21"/>
          <w:szCs w:val="21"/>
          <w:highlight w:val="none"/>
          <w:lang w:val="en-US" w:eastAsia="zh-CN"/>
        </w:rPr>
        <w:t>申请人的资格要求：</w:t>
      </w:r>
    </w:p>
    <w:p w14:paraId="43B6752C">
      <w:pPr>
        <w:pageBreakBefore w:val="0"/>
        <w:kinsoku/>
        <w:overflowPunct/>
        <w:topLinePunct w:val="0"/>
        <w:bidi w:val="0"/>
        <w:spacing w:line="360" w:lineRule="auto"/>
        <w:ind w:firstLine="396" w:firstLineChars="200"/>
        <w:rPr>
          <w:rFonts w:hint="eastAsia"/>
          <w:lang w:val="en-US" w:eastAsia="zh-CN"/>
        </w:rPr>
      </w:pPr>
      <w:r>
        <w:rPr>
          <w:rFonts w:hint="eastAsia" w:ascii="Times New Roman" w:hAnsi="Times New Roman" w:eastAsia="宋体" w:cs="Arial"/>
          <w:color w:val="auto"/>
          <w:spacing w:val="-6"/>
          <w:szCs w:val="21"/>
        </w:rPr>
        <w:t>（一）</w:t>
      </w:r>
      <w:r>
        <w:rPr>
          <w:rFonts w:ascii="Times New Roman" w:hAnsi="Times New Roman" w:eastAsia="宋体" w:cs="Arial"/>
          <w:color w:val="auto"/>
          <w:spacing w:val="-6"/>
          <w:szCs w:val="21"/>
        </w:rPr>
        <w:t>符合</w:t>
      </w:r>
      <w:r>
        <w:rPr>
          <w:rFonts w:hint="eastAsia" w:ascii="Times New Roman" w:hAnsi="Times New Roman" w:eastAsia="宋体" w:cs="Arial"/>
          <w:color w:val="auto"/>
          <w:spacing w:val="-6"/>
          <w:szCs w:val="21"/>
        </w:rPr>
        <w:t>相关法律法规</w:t>
      </w:r>
      <w:r>
        <w:rPr>
          <w:rFonts w:ascii="Times New Roman" w:hAnsi="Times New Roman" w:eastAsia="宋体" w:cs="Arial"/>
          <w:color w:val="auto"/>
          <w:spacing w:val="-6"/>
          <w:szCs w:val="21"/>
        </w:rPr>
        <w:t>规定</w:t>
      </w:r>
      <w:r>
        <w:rPr>
          <w:rFonts w:hint="eastAsia" w:ascii="Times New Roman" w:hAnsi="Times New Roman" w:eastAsia="宋体" w:cs="Arial"/>
          <w:color w:val="auto"/>
          <w:spacing w:val="-6"/>
          <w:szCs w:val="21"/>
        </w:rPr>
        <w:t>的条件，并提供下列材料：</w:t>
      </w:r>
    </w:p>
    <w:p w14:paraId="14A13567">
      <w:pPr>
        <w:pageBreakBefore w:val="0"/>
        <w:kinsoku/>
        <w:overflowPunct/>
        <w:topLinePunct w:val="0"/>
        <w:bidi w:val="0"/>
        <w:spacing w:line="360" w:lineRule="auto"/>
        <w:ind w:firstLine="420" w:firstLineChars="200"/>
        <w:rPr>
          <w:rFonts w:hint="eastAsia" w:ascii="Times New Roman" w:hAnsi="Times New Roman" w:eastAsia="宋体"/>
          <w:i/>
          <w:iCs/>
          <w:color w:val="auto"/>
          <w:szCs w:val="21"/>
          <w:u w:val="single"/>
        </w:rPr>
      </w:pPr>
      <w:r>
        <w:rPr>
          <w:rFonts w:hint="eastAsia" w:ascii="Times New Roman" w:hAnsi="Times New Roman" w:eastAsia="宋体"/>
          <w:i/>
          <w:iCs/>
          <w:color w:val="auto"/>
          <w:szCs w:val="21"/>
          <w:u w:val="single"/>
        </w:rPr>
        <w:t>1 磋商响应函</w:t>
      </w:r>
      <w:r>
        <w:rPr>
          <w:rFonts w:hint="eastAsia" w:ascii="Times New Roman" w:hAnsi="Times New Roman" w:eastAsia="宋体"/>
          <w:b/>
          <w:i/>
          <w:iCs/>
          <w:color w:val="auto"/>
          <w:szCs w:val="21"/>
          <w:u w:val="single"/>
        </w:rPr>
        <w:t>（原件）</w:t>
      </w:r>
    </w:p>
    <w:p w14:paraId="69946D72">
      <w:pPr>
        <w:pageBreakBefore w:val="0"/>
        <w:kinsoku/>
        <w:overflowPunct/>
        <w:topLinePunct w:val="0"/>
        <w:bidi w:val="0"/>
        <w:spacing w:line="360" w:lineRule="auto"/>
        <w:ind w:right="312" w:firstLine="420" w:firstLineChars="200"/>
        <w:rPr>
          <w:rFonts w:hint="eastAsia" w:ascii="Times New Roman" w:hAnsi="Times New Roman" w:eastAsia="宋体"/>
          <w:i/>
          <w:iCs/>
          <w:color w:val="auto"/>
          <w:szCs w:val="21"/>
          <w:u w:val="single"/>
        </w:rPr>
      </w:pPr>
      <w:r>
        <w:rPr>
          <w:rFonts w:hint="eastAsia" w:ascii="Times New Roman" w:hAnsi="Times New Roman" w:eastAsia="宋体"/>
          <w:i/>
          <w:iCs/>
          <w:color w:val="auto"/>
          <w:szCs w:val="21"/>
          <w:u w:val="single"/>
        </w:rPr>
        <w:t>2 资格声明</w:t>
      </w:r>
      <w:r>
        <w:rPr>
          <w:rFonts w:hint="eastAsia" w:ascii="Times New Roman" w:hAnsi="Times New Roman" w:eastAsia="宋体"/>
          <w:b/>
          <w:i/>
          <w:iCs/>
          <w:color w:val="auto"/>
          <w:szCs w:val="21"/>
          <w:u w:val="single"/>
        </w:rPr>
        <w:t>（原件）</w:t>
      </w:r>
    </w:p>
    <w:p w14:paraId="284F0C2D">
      <w:pPr>
        <w:pageBreakBefore w:val="0"/>
        <w:kinsoku/>
        <w:overflowPunct/>
        <w:topLinePunct w:val="0"/>
        <w:bidi w:val="0"/>
        <w:spacing w:line="360" w:lineRule="auto"/>
        <w:ind w:right="312" w:firstLine="420" w:firstLineChars="200"/>
        <w:rPr>
          <w:rFonts w:hint="eastAsia" w:ascii="Times New Roman" w:hAnsi="Times New Roman" w:eastAsia="宋体"/>
          <w:i/>
          <w:iCs/>
          <w:color w:val="auto"/>
          <w:szCs w:val="21"/>
          <w:u w:val="single"/>
          <w:lang w:eastAsia="zh-CN"/>
        </w:rPr>
      </w:pPr>
      <w:r>
        <w:rPr>
          <w:rFonts w:hint="eastAsia" w:ascii="Times New Roman" w:hAnsi="Times New Roman" w:eastAsia="宋体"/>
          <w:i/>
          <w:iCs/>
          <w:color w:val="auto"/>
          <w:szCs w:val="21"/>
          <w:u w:val="single"/>
        </w:rPr>
        <w:t>3</w:t>
      </w:r>
      <w:r>
        <w:rPr>
          <w:rFonts w:hint="eastAsia" w:ascii="Times New Roman" w:hAnsi="Times New Roman" w:eastAsia="宋体"/>
          <w:i/>
          <w:iCs/>
          <w:color w:val="auto"/>
          <w:u w:val="single"/>
        </w:rPr>
        <w:t>若法定代表人参加磋商的，须提供本人身份证复印件</w:t>
      </w:r>
      <w:r>
        <w:rPr>
          <w:rFonts w:hint="eastAsia" w:ascii="宋体" w:hAnsi="宋体"/>
          <w:b/>
          <w:color w:val="auto"/>
          <w:u w:val="single"/>
        </w:rPr>
        <w:t>(</w:t>
      </w:r>
      <w:r>
        <w:rPr>
          <w:rFonts w:hint="eastAsia" w:ascii="宋体" w:hAnsi="宋体"/>
          <w:b/>
          <w:color w:val="auto"/>
          <w:u w:val="single"/>
          <w:lang w:val="en-US" w:eastAsia="zh-CN"/>
        </w:rPr>
        <w:t>复印件加盖供应商公章，</w:t>
      </w:r>
      <w:r>
        <w:rPr>
          <w:rFonts w:hint="eastAsia" w:ascii="宋体" w:hAnsi="宋体"/>
          <w:b/>
          <w:color w:val="auto"/>
          <w:u w:val="single"/>
        </w:rPr>
        <w:t>原件备查)</w:t>
      </w:r>
      <w:r>
        <w:rPr>
          <w:rFonts w:hint="eastAsia" w:ascii="Times New Roman" w:hAnsi="Times New Roman" w:eastAsia="宋体"/>
          <w:i/>
          <w:iCs/>
          <w:color w:val="auto"/>
          <w:u w:val="single"/>
        </w:rPr>
        <w:t>；若授权代表参加的，须提供《法人授权书》原件和授权代表身份证复印件</w:t>
      </w:r>
      <w:r>
        <w:rPr>
          <w:rFonts w:hint="eastAsia" w:ascii="宋体" w:hAnsi="宋体"/>
          <w:b/>
          <w:color w:val="auto"/>
          <w:u w:val="single"/>
        </w:rPr>
        <w:t>(</w:t>
      </w:r>
      <w:r>
        <w:rPr>
          <w:rFonts w:hint="eastAsia" w:ascii="宋体" w:hAnsi="宋体"/>
          <w:b/>
          <w:color w:val="auto"/>
          <w:u w:val="single"/>
          <w:lang w:val="en-US" w:eastAsia="zh-CN"/>
        </w:rPr>
        <w:t>复印件加盖供应商公章，</w:t>
      </w:r>
      <w:r>
        <w:rPr>
          <w:rFonts w:hint="eastAsia" w:ascii="宋体" w:hAnsi="宋体"/>
          <w:b/>
          <w:color w:val="auto"/>
          <w:u w:val="single"/>
        </w:rPr>
        <w:t>原件备查)</w:t>
      </w:r>
      <w:r>
        <w:rPr>
          <w:rFonts w:hint="eastAsia" w:ascii="宋体" w:hAnsi="宋体"/>
          <w:b/>
          <w:color w:val="auto"/>
          <w:u w:val="single"/>
          <w:lang w:eastAsia="zh-CN"/>
        </w:rPr>
        <w:t>。</w:t>
      </w:r>
    </w:p>
    <w:p w14:paraId="5405FF3B">
      <w:pPr>
        <w:pageBreakBefore w:val="0"/>
        <w:kinsoku/>
        <w:overflowPunct/>
        <w:topLinePunct w:val="0"/>
        <w:bidi w:val="0"/>
        <w:spacing w:line="360" w:lineRule="auto"/>
        <w:ind w:firstLine="420" w:firstLineChars="200"/>
        <w:rPr>
          <w:rFonts w:hint="eastAsia" w:ascii="Times New Roman" w:hAnsi="Times New Roman" w:eastAsia="宋体"/>
          <w:b/>
          <w:bCs/>
          <w:i/>
          <w:iCs/>
          <w:color w:val="auto"/>
          <w:szCs w:val="21"/>
          <w:u w:val="single"/>
        </w:rPr>
      </w:pPr>
      <w:r>
        <w:rPr>
          <w:rFonts w:hint="eastAsia" w:ascii="Times New Roman" w:hAnsi="Times New Roman" w:eastAsia="宋体"/>
          <w:i/>
          <w:iCs/>
          <w:color w:val="auto"/>
          <w:szCs w:val="21"/>
          <w:u w:val="single"/>
        </w:rPr>
        <w:t xml:space="preserve">4 </w:t>
      </w:r>
      <w:r>
        <w:rPr>
          <w:rFonts w:hint="eastAsia" w:ascii="Times New Roman" w:hAnsi="Times New Roman" w:eastAsia="宋体" w:cs="宋体"/>
          <w:i/>
          <w:iCs/>
          <w:color w:val="auto"/>
          <w:szCs w:val="21"/>
          <w:u w:val="single"/>
        </w:rPr>
        <w:t>法人或者其他组织的营业执照等证明文件，自然人的身份证明</w:t>
      </w:r>
      <w:r>
        <w:rPr>
          <w:rFonts w:hint="eastAsia" w:ascii="Times New Roman" w:hAnsi="Times New Roman" w:eastAsia="宋体"/>
          <w:b/>
          <w:bCs/>
          <w:i/>
          <w:iCs/>
          <w:color w:val="auto"/>
          <w:szCs w:val="21"/>
          <w:u w:val="single"/>
        </w:rPr>
        <w:t>(复印件加盖供应商公章)</w:t>
      </w:r>
    </w:p>
    <w:p w14:paraId="42946363">
      <w:pPr>
        <w:pageBreakBefore w:val="0"/>
        <w:kinsoku/>
        <w:overflowPunct/>
        <w:topLinePunct w:val="0"/>
        <w:bidi w:val="0"/>
        <w:spacing w:line="360" w:lineRule="auto"/>
        <w:ind w:firstLine="420" w:firstLineChars="200"/>
        <w:rPr>
          <w:rFonts w:hint="eastAsia" w:ascii="Times New Roman" w:hAnsi="Times New Roman" w:eastAsia="宋体"/>
          <w:i/>
          <w:iCs/>
          <w:color w:val="auto"/>
          <w:szCs w:val="21"/>
          <w:u w:val="single"/>
        </w:rPr>
      </w:pPr>
      <w:r>
        <w:rPr>
          <w:rFonts w:hint="eastAsia" w:ascii="Times New Roman" w:hAnsi="Times New Roman" w:eastAsia="宋体"/>
          <w:i/>
          <w:iCs/>
          <w:color w:val="auto"/>
          <w:szCs w:val="21"/>
          <w:u w:val="single"/>
        </w:rPr>
        <w:t>5 依法缴纳职工社会保障资金的证明材料</w:t>
      </w:r>
      <w:r>
        <w:rPr>
          <w:rFonts w:hint="eastAsia" w:ascii="Times New Roman" w:hAnsi="Times New Roman" w:eastAsia="宋体"/>
          <w:b/>
          <w:i/>
          <w:iCs/>
          <w:color w:val="auto"/>
          <w:szCs w:val="21"/>
          <w:u w:val="single"/>
        </w:rPr>
        <w:t>（复印件加盖供应商公章）（税务、银行或社会保险基金管理部门出具的近一年内任意一份缴纳职工社会保障资金的缴款凭证或缴款证明，</w:t>
      </w:r>
      <w:r>
        <w:rPr>
          <w:rFonts w:hint="eastAsia" w:ascii="Times New Roman" w:hAnsi="Times New Roman" w:eastAsia="宋体" w:cs="宋体"/>
          <w:b/>
          <w:i/>
          <w:iCs/>
          <w:color w:val="auto"/>
          <w:szCs w:val="21"/>
          <w:u w:val="single"/>
        </w:rPr>
        <w:t>供应商依法享受缓缴、免缴税收、社会保障资金的提供证明材料</w:t>
      </w:r>
      <w:r>
        <w:rPr>
          <w:rFonts w:hint="eastAsia" w:ascii="Times New Roman" w:hAnsi="Times New Roman" w:eastAsia="宋体"/>
          <w:b/>
          <w:i/>
          <w:iCs/>
          <w:color w:val="auto"/>
          <w:szCs w:val="21"/>
          <w:u w:val="single"/>
        </w:rPr>
        <w:t>）</w:t>
      </w:r>
    </w:p>
    <w:p w14:paraId="52297E5F">
      <w:pPr>
        <w:pageBreakBefore w:val="0"/>
        <w:kinsoku/>
        <w:overflowPunct/>
        <w:topLinePunct w:val="0"/>
        <w:bidi w:val="0"/>
        <w:spacing w:line="360" w:lineRule="auto"/>
        <w:ind w:firstLine="420" w:firstLineChars="200"/>
        <w:rPr>
          <w:rFonts w:hint="eastAsia" w:ascii="Times New Roman" w:hAnsi="Times New Roman" w:eastAsia="宋体"/>
          <w:b/>
          <w:i/>
          <w:iCs/>
          <w:color w:val="auto"/>
          <w:szCs w:val="21"/>
          <w:u w:val="single"/>
        </w:rPr>
      </w:pPr>
      <w:r>
        <w:rPr>
          <w:rFonts w:hint="eastAsia" w:ascii="Times New Roman" w:hAnsi="Times New Roman" w:eastAsia="宋体"/>
          <w:i/>
          <w:iCs/>
          <w:color w:val="auto"/>
          <w:szCs w:val="21"/>
          <w:u w:val="single"/>
        </w:rPr>
        <w:t>6 供应商近一年内任意一份依法纳税的缴款凭证</w:t>
      </w:r>
      <w:r>
        <w:rPr>
          <w:rFonts w:hint="eastAsia" w:ascii="Times New Roman" w:hAnsi="Times New Roman" w:eastAsia="宋体"/>
          <w:b/>
          <w:i/>
          <w:iCs/>
          <w:color w:val="auto"/>
          <w:szCs w:val="21"/>
          <w:u w:val="single"/>
        </w:rPr>
        <w:t>（复印件加盖供应商公章，</w:t>
      </w:r>
      <w:r>
        <w:rPr>
          <w:rFonts w:hint="eastAsia" w:ascii="Times New Roman" w:hAnsi="Times New Roman" w:eastAsia="宋体" w:cs="宋体"/>
          <w:b/>
          <w:i/>
          <w:iCs/>
          <w:color w:val="auto"/>
          <w:szCs w:val="21"/>
          <w:u w:val="single"/>
        </w:rPr>
        <w:t>供应商依法享受缓缴、免缴税收、社会保障资金的提供证明材料</w:t>
      </w:r>
      <w:r>
        <w:rPr>
          <w:rFonts w:hint="eastAsia" w:ascii="Times New Roman" w:hAnsi="Times New Roman" w:eastAsia="宋体"/>
          <w:b/>
          <w:i/>
          <w:iCs/>
          <w:color w:val="auto"/>
          <w:szCs w:val="21"/>
          <w:u w:val="single"/>
        </w:rPr>
        <w:t>）</w:t>
      </w:r>
    </w:p>
    <w:p w14:paraId="1E22472F">
      <w:pPr>
        <w:pageBreakBefore w:val="0"/>
        <w:kinsoku/>
        <w:overflowPunct/>
        <w:topLinePunct w:val="0"/>
        <w:bidi w:val="0"/>
        <w:spacing w:line="360" w:lineRule="auto"/>
        <w:ind w:firstLine="420" w:firstLineChars="200"/>
        <w:jc w:val="left"/>
        <w:rPr>
          <w:rFonts w:hint="eastAsia"/>
        </w:rPr>
      </w:pPr>
      <w:r>
        <w:rPr>
          <w:rFonts w:hint="eastAsia" w:ascii="Times New Roman" w:hAnsi="Times New Roman" w:eastAsia="宋体"/>
          <w:i/>
          <w:iCs/>
          <w:color w:val="auto"/>
          <w:szCs w:val="21"/>
          <w:u w:val="single"/>
        </w:rPr>
        <w:t xml:space="preserve">7 </w:t>
      </w:r>
      <w:r>
        <w:rPr>
          <w:rFonts w:hint="eastAsia" w:ascii="Times New Roman" w:hAnsi="Times New Roman" w:eastAsia="宋体"/>
          <w:i/>
          <w:iCs/>
          <w:color w:val="auto"/>
          <w:szCs w:val="21"/>
          <w:u w:val="single"/>
          <w:lang w:val="en-US" w:eastAsia="zh-CN"/>
        </w:rPr>
        <w:t>上一</w:t>
      </w:r>
      <w:r>
        <w:rPr>
          <w:rFonts w:hint="eastAsia" w:ascii="Times New Roman" w:hAnsi="Times New Roman" w:eastAsia="宋体"/>
          <w:i/>
          <w:iCs/>
          <w:color w:val="auto"/>
          <w:szCs w:val="21"/>
          <w:u w:val="single"/>
        </w:rPr>
        <w:t>年度</w:t>
      </w:r>
      <w:r>
        <w:rPr>
          <w:rFonts w:hint="eastAsia" w:ascii="Times New Roman" w:hAnsi="Times New Roman" w:eastAsia="宋体" w:cs="宋体"/>
          <w:i/>
          <w:iCs/>
          <w:color w:val="auto"/>
          <w:szCs w:val="21"/>
          <w:u w:val="single"/>
        </w:rPr>
        <w:t>的财务状况报告</w:t>
      </w:r>
      <w:r>
        <w:rPr>
          <w:rFonts w:hint="eastAsia" w:ascii="Times New Roman" w:hAnsi="Times New Roman" w:eastAsia="宋体"/>
          <w:b/>
          <w:i/>
          <w:iCs/>
          <w:color w:val="auto"/>
          <w:szCs w:val="21"/>
          <w:u w:val="single"/>
        </w:rPr>
        <w:t xml:space="preserve"> （</w:t>
      </w:r>
      <w:r>
        <w:rPr>
          <w:rFonts w:hint="eastAsia" w:ascii="Times New Roman" w:hAnsi="Times New Roman" w:eastAsia="宋体"/>
          <w:b/>
          <w:bCs/>
          <w:i/>
          <w:iCs/>
          <w:color w:val="auto"/>
          <w:u w:val="single"/>
        </w:rPr>
        <w:t>成立不满一年不需提供，</w:t>
      </w:r>
      <w:r>
        <w:rPr>
          <w:rFonts w:hint="eastAsia" w:ascii="Times New Roman" w:hAnsi="Times New Roman" w:eastAsia="宋体"/>
          <w:b/>
          <w:i/>
          <w:iCs/>
          <w:color w:val="auto"/>
          <w:szCs w:val="21"/>
          <w:u w:val="single"/>
        </w:rPr>
        <w:t>复印件加盖供应商公章）</w:t>
      </w:r>
    </w:p>
    <w:p w14:paraId="4FE86141">
      <w:pPr>
        <w:rPr>
          <w:rFonts w:hint="eastAsia" w:ascii="Times New Roman" w:hAnsi="Times New Roman" w:eastAsia="宋体"/>
          <w:b/>
          <w:bCs/>
          <w:i/>
          <w:iCs/>
          <w:color w:val="auto"/>
          <w:szCs w:val="21"/>
          <w:u w:val="single"/>
        </w:rPr>
      </w:pPr>
      <w:r>
        <w:rPr>
          <w:rFonts w:hint="eastAsia" w:ascii="Times New Roman" w:hAnsi="Times New Roman" w:eastAsia="宋体"/>
          <w:i/>
          <w:iCs/>
          <w:color w:val="auto"/>
          <w:szCs w:val="21"/>
          <w:u w:val="single"/>
        </w:rPr>
        <w:t>8 供应商参加本次采购活动前3年内在经营活动中没有重大违法记录的书面声明</w:t>
      </w:r>
      <w:r>
        <w:rPr>
          <w:rFonts w:hint="eastAsia" w:ascii="Times New Roman" w:hAnsi="Times New Roman" w:eastAsia="宋体"/>
          <w:b/>
          <w:bCs/>
          <w:i/>
          <w:iCs/>
          <w:color w:val="auto"/>
          <w:szCs w:val="21"/>
          <w:u w:val="single"/>
        </w:rPr>
        <w:t>（原件）</w:t>
      </w:r>
    </w:p>
    <w:p w14:paraId="795EFBF9">
      <w:pPr>
        <w:pageBreakBefore w:val="0"/>
        <w:kinsoku/>
        <w:overflowPunct/>
        <w:topLinePunct w:val="0"/>
        <w:bidi w:val="0"/>
        <w:spacing w:line="360" w:lineRule="auto"/>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（二）采购人根据本项目要求规定的特定条件：无</w:t>
      </w:r>
    </w:p>
    <w:p w14:paraId="609C6367">
      <w:pPr>
        <w:pageBreakBefore w:val="0"/>
        <w:kinsoku/>
        <w:overflowPunct/>
        <w:topLinePunct w:val="0"/>
        <w:bidi w:val="0"/>
        <w:spacing w:line="360" w:lineRule="auto"/>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（三）拒绝下述供应商参加本次采购活动：</w:t>
      </w:r>
    </w:p>
    <w:p w14:paraId="7B393AB3">
      <w:pPr>
        <w:pageBreakBefore w:val="0"/>
        <w:kinsoku/>
        <w:overflowPunct/>
        <w:topLinePunct w:val="0"/>
        <w:bidi w:val="0"/>
        <w:spacing w:line="360" w:lineRule="auto"/>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（1）供应商单位负责人为同一人或者存在直接控股、管理关系的不同供应商，不得参加同一合同项下的采购活动。</w:t>
      </w:r>
    </w:p>
    <w:p w14:paraId="4AC700A2">
      <w:pPr>
        <w:pageBreakBefore w:val="0"/>
        <w:kinsoku/>
        <w:overflowPunct/>
        <w:topLinePunct w:val="0"/>
        <w:bidi w:val="0"/>
        <w:spacing w:line="360" w:lineRule="auto"/>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（2）凡为采购项目提供整体设计、规范编制或者项目管理、监理、检测等服务的供应商，不得再参加该项目的其他采购活动。</w:t>
      </w:r>
    </w:p>
    <w:p w14:paraId="1093337D">
      <w:pPr>
        <w:pageBreakBefore w:val="0"/>
        <w:kinsoku/>
        <w:overflowPunct/>
        <w:topLinePunct w:val="0"/>
        <w:bidi w:val="0"/>
        <w:spacing w:line="360" w:lineRule="auto"/>
        <w:ind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（3）供应商被“信用中国”网站（www.creditchina.gov.cn）、“中国政府采购网”（www.ccgp.gov.cn）列入失信被执行人、重大税收违法案件当事人名单、政府采购严重违法失信行为记录名单。</w:t>
      </w:r>
    </w:p>
    <w:p w14:paraId="2CB7EAD8">
      <w:pPr>
        <w:pageBreakBefore w:val="0"/>
        <w:kinsoku/>
        <w:overflowPunct/>
        <w:topLinePunct w:val="0"/>
        <w:bidi w:val="0"/>
        <w:spacing w:line="360" w:lineRule="auto"/>
        <w:ind w:right="-155"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（四）集中考察或召开答疑会</w:t>
      </w:r>
      <w:r>
        <w:rPr>
          <w:rFonts w:hint="eastAsia" w:ascii="Times New Roman" w:hAnsi="Times New Roman" w:eastAsia="宋体"/>
          <w:color w:val="auto"/>
          <w:szCs w:val="21"/>
          <w:lang w:eastAsia="zh-CN"/>
        </w:rPr>
        <w:t>：</w:t>
      </w:r>
      <w:r>
        <w:rPr>
          <w:rFonts w:hint="eastAsia" w:ascii="Times New Roman" w:hAnsi="Times New Roman" w:eastAsia="宋体"/>
          <w:color w:val="auto"/>
          <w:szCs w:val="21"/>
          <w:lang w:val="en-US" w:eastAsia="zh-CN"/>
        </w:rPr>
        <w:t>无。</w:t>
      </w:r>
      <w:r>
        <w:rPr>
          <w:rFonts w:hint="eastAsia" w:ascii="Times New Roman" w:hAnsi="Times New Roman" w:eastAsia="宋体"/>
          <w:color w:val="auto"/>
          <w:szCs w:val="21"/>
        </w:rPr>
        <w:t xml:space="preserve">  </w:t>
      </w:r>
    </w:p>
    <w:p w14:paraId="239E66F7">
      <w:pPr>
        <w:pStyle w:val="3"/>
        <w:numPr>
          <w:ilvl w:val="0"/>
          <w:numId w:val="0"/>
        </w:numPr>
        <w:spacing w:before="0" w:after="0" w:line="360" w:lineRule="auto"/>
        <w:ind w:left="0" w:leftChars="0" w:firstLine="420" w:firstLineChars="0"/>
        <w:jc w:val="both"/>
        <w:rPr>
          <w:rFonts w:hint="default" w:ascii="宋体" w:hAnsi="宋体" w:cs="宋体"/>
          <w:b/>
          <w:bCs w:val="0"/>
          <w:color w:val="auto"/>
          <w:sz w:val="21"/>
          <w:szCs w:val="21"/>
          <w:highlight w:val="none"/>
          <w:lang w:val="en-US" w:eastAsia="zh-CN"/>
        </w:rPr>
      </w:pPr>
      <w:r>
        <w:rPr>
          <w:rFonts w:hint="eastAsia" w:ascii="宋体" w:hAnsi="宋体" w:eastAsia="宋体" w:cs="宋体"/>
          <w:b/>
          <w:bCs w:val="0"/>
          <w:color w:val="auto"/>
          <w:kern w:val="0"/>
          <w:sz w:val="21"/>
          <w:szCs w:val="21"/>
          <w:lang w:val="en-US" w:eastAsia="zh-CN" w:bidi="ar-SA"/>
        </w:rPr>
        <w:t>三、</w:t>
      </w:r>
      <w:r>
        <w:rPr>
          <w:rFonts w:hint="eastAsia" w:ascii="宋体" w:hAnsi="宋体" w:cs="宋体"/>
          <w:b/>
          <w:bCs w:val="0"/>
          <w:color w:val="auto"/>
          <w:sz w:val="21"/>
          <w:szCs w:val="21"/>
          <w:highlight w:val="none"/>
          <w:lang w:val="en-US" w:eastAsia="zh-CN"/>
        </w:rPr>
        <w:t>获取采购文件：</w:t>
      </w:r>
    </w:p>
    <w:p w14:paraId="3F5B5103">
      <w:pPr>
        <w:pStyle w:val="41"/>
        <w:ind w:left="0" w:leftChars="0" w:firstLine="0" w:firstLineChars="0"/>
        <w:jc w:val="left"/>
        <w:rPr>
          <w:rFonts w:hint="default"/>
          <w:highlight w:val="yellow"/>
          <w:lang w:val="en-US" w:eastAsia="zh-CN"/>
        </w:rPr>
      </w:pPr>
      <w:r>
        <w:rPr>
          <w:rFonts w:hint="eastAsia"/>
          <w:lang w:val="en-US" w:eastAsia="zh-CN"/>
        </w:rPr>
        <w:t xml:space="preserve">      时间：</w:t>
      </w:r>
      <w:r>
        <w:rPr>
          <w:rFonts w:hint="eastAsia"/>
          <w:highlight w:val="none"/>
          <w:lang w:val="en-US" w:eastAsia="zh-CN"/>
        </w:rPr>
        <w:t>2025年7月10 日-2025年7月17日</w:t>
      </w:r>
    </w:p>
    <w:p w14:paraId="08BBF0CB">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left"/>
        <w:textAlignment w:val="auto"/>
        <w:rPr>
          <w:sz w:val="27"/>
          <w:szCs w:val="27"/>
        </w:rPr>
      </w:pPr>
      <w:r>
        <w:rPr>
          <w:rFonts w:hint="eastAsia"/>
          <w:lang w:val="en-US" w:eastAsia="zh-CN"/>
        </w:rPr>
        <w:t xml:space="preserve">      地点：</w:t>
      </w:r>
      <w:r>
        <w:rPr>
          <w:rFonts w:hint="eastAsia" w:ascii="宋体" w:hAnsi="宋体" w:eastAsia="宋体" w:cs="宋体"/>
          <w:color w:val="auto"/>
          <w:szCs w:val="21"/>
          <w:highlight w:val="none"/>
        </w:rPr>
        <w:t>扬州市疾病预防控制中心</w:t>
      </w:r>
    </w:p>
    <w:p w14:paraId="5BE8583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firstLine="630" w:firstLineChars="300"/>
        <w:jc w:val="left"/>
        <w:textAlignment w:val="baseline"/>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方式：网上自行下载查阅</w:t>
      </w:r>
    </w:p>
    <w:p w14:paraId="4E470FC0">
      <w:pPr>
        <w:bidi w:val="0"/>
        <w:jc w:val="left"/>
        <w:rPr>
          <w:rFonts w:hint="default"/>
          <w:lang w:val="en-US" w:eastAsia="zh-CN"/>
        </w:rPr>
      </w:pPr>
    </w:p>
    <w:p w14:paraId="156CE378">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color w:val="auto"/>
          <w:szCs w:val="21"/>
          <w:highlight w:val="none"/>
        </w:rPr>
      </w:pPr>
      <w:r>
        <w:rPr>
          <w:rFonts w:hint="eastAsia" w:ascii="宋体" w:hAnsi="宋体" w:cs="宋体"/>
          <w:b/>
          <w:bCs/>
          <w:color w:val="auto"/>
          <w:szCs w:val="21"/>
          <w:highlight w:val="none"/>
          <w:lang w:val="en-US" w:eastAsia="zh-CN"/>
        </w:rPr>
        <w:t>四</w:t>
      </w:r>
      <w:r>
        <w:rPr>
          <w:rFonts w:hint="eastAsia" w:ascii="宋体" w:hAnsi="宋体" w:eastAsia="宋体" w:cs="宋体"/>
          <w:b/>
          <w:bCs/>
          <w:color w:val="auto"/>
          <w:szCs w:val="21"/>
          <w:highlight w:val="none"/>
        </w:rPr>
        <w:t>、本次磋商响应文件制作份数要求</w:t>
      </w:r>
    </w:p>
    <w:p w14:paraId="3A40220A">
      <w:pPr>
        <w:keepNext w:val="0"/>
        <w:keepLines w:val="0"/>
        <w:pageBreakBefore w:val="0"/>
        <w:widowControl w:val="0"/>
        <w:tabs>
          <w:tab w:val="left" w:pos="900"/>
        </w:tabs>
        <w:kinsoku/>
        <w:wordWrap/>
        <w:overflowPunct/>
        <w:topLinePunct w:val="0"/>
        <w:autoSpaceDE/>
        <w:autoSpaceDN/>
        <w:bidi w:val="0"/>
        <w:adjustRightInd/>
        <w:snapToGrid/>
        <w:spacing w:line="360" w:lineRule="auto"/>
        <w:ind w:right="0" w:firstLine="422" w:firstLineChars="200"/>
        <w:textAlignment w:val="auto"/>
        <w:rPr>
          <w:rFonts w:hint="default"/>
          <w:lang w:val="en-US" w:eastAsia="zh-CN"/>
        </w:rPr>
      </w:pPr>
      <w:r>
        <w:rPr>
          <w:rFonts w:hint="eastAsia" w:ascii="宋体" w:hAnsi="宋体" w:eastAsia="宋体" w:cs="宋体"/>
          <w:b/>
          <w:bCs/>
          <w:color w:val="auto"/>
          <w:szCs w:val="21"/>
          <w:highlight w:val="none"/>
        </w:rPr>
        <w:t>响应文件份数:纸质版一式三份(壹份正本、贰份副本)、电子版壹份(一般应为U盘形式、随纸质正本文件一并提交)。</w:t>
      </w:r>
      <w:r>
        <w:rPr>
          <w:rFonts w:hint="eastAsia" w:ascii="宋体" w:hAnsi="宋体" w:eastAsia="宋体" w:cs="宋体"/>
          <w:color w:val="auto"/>
          <w:szCs w:val="21"/>
          <w:highlight w:val="none"/>
        </w:rPr>
        <w:t>当电子版文件和纸质正本文件不一致时，以纸质正本文件为准。电子版文件用于辅助评标和存档，供应商需承担前述不一致造成的不利后果。每份响应文件须清楚标明“正本”或“副本”字样。一旦正本和副本不符，以正本为准。</w:t>
      </w:r>
    </w:p>
    <w:p w14:paraId="4121118D">
      <w:pPr>
        <w:pStyle w:val="3"/>
        <w:numPr>
          <w:ilvl w:val="0"/>
          <w:numId w:val="0"/>
        </w:numPr>
        <w:spacing w:before="0" w:after="0" w:line="360" w:lineRule="auto"/>
        <w:ind w:left="0" w:leftChars="0" w:firstLine="420" w:firstLineChars="0"/>
        <w:jc w:val="both"/>
        <w:rPr>
          <w:rFonts w:hint="eastAsia" w:ascii="宋体" w:hAnsi="宋体" w:cs="宋体"/>
          <w:b/>
          <w:bCs w:val="0"/>
          <w:color w:val="auto"/>
          <w:sz w:val="21"/>
          <w:szCs w:val="21"/>
          <w:highlight w:val="none"/>
          <w:lang w:val="en-US" w:eastAsia="zh-CN"/>
        </w:rPr>
      </w:pPr>
      <w:r>
        <w:rPr>
          <w:rFonts w:hint="eastAsia" w:ascii="宋体" w:hAnsi="宋体" w:cs="宋体"/>
          <w:b/>
          <w:bCs w:val="0"/>
          <w:color w:val="auto"/>
          <w:kern w:val="0"/>
          <w:sz w:val="21"/>
          <w:szCs w:val="21"/>
          <w:lang w:val="en-US" w:eastAsia="zh-CN" w:bidi="ar-SA"/>
        </w:rPr>
        <w:t>五</w:t>
      </w:r>
      <w:r>
        <w:rPr>
          <w:rFonts w:hint="eastAsia" w:ascii="宋体" w:hAnsi="宋体" w:eastAsia="宋体" w:cs="宋体"/>
          <w:b/>
          <w:bCs w:val="0"/>
          <w:color w:val="auto"/>
          <w:kern w:val="0"/>
          <w:sz w:val="21"/>
          <w:szCs w:val="21"/>
          <w:lang w:val="en-US" w:eastAsia="zh-CN" w:bidi="ar-SA"/>
        </w:rPr>
        <w:t>、</w:t>
      </w:r>
      <w:r>
        <w:rPr>
          <w:rFonts w:hint="eastAsia" w:ascii="宋体" w:hAnsi="宋体" w:cs="宋体"/>
          <w:b/>
          <w:bCs w:val="0"/>
          <w:color w:val="auto"/>
          <w:sz w:val="21"/>
          <w:szCs w:val="21"/>
          <w:highlight w:val="none"/>
          <w:lang w:val="en-US" w:eastAsia="zh-CN"/>
        </w:rPr>
        <w:t>磋商响应文件接收截止时间和地点：</w:t>
      </w:r>
    </w:p>
    <w:p w14:paraId="0C7A3C47">
      <w:pPr>
        <w:pageBreakBefore w:val="0"/>
        <w:kinsoku/>
        <w:overflowPunct/>
        <w:topLinePunct w:val="0"/>
        <w:bidi w:val="0"/>
        <w:spacing w:line="360" w:lineRule="auto"/>
        <w:ind w:right="-155"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（一）响应文件接收开始时间：</w:t>
      </w:r>
      <w:r>
        <w:rPr>
          <w:rFonts w:hint="eastAsia" w:ascii="Times New Roman" w:hAnsi="Times New Roman" w:eastAsia="宋体"/>
          <w:color w:val="auto"/>
          <w:szCs w:val="21"/>
          <w:highlight w:val="none"/>
          <w:lang w:eastAsia="zh-CN"/>
        </w:rPr>
        <w:t>202</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lang w:val="en-US" w:eastAsia="zh-CN"/>
        </w:rPr>
        <w:t xml:space="preserve"> 7</w:t>
      </w:r>
      <w:r>
        <w:rPr>
          <w:rFonts w:hint="eastAsia" w:ascii="Times New Roman" w:hAnsi="Times New Roman" w:eastAsia="宋体"/>
          <w:color w:val="auto"/>
          <w:szCs w:val="21"/>
          <w:highlight w:val="none"/>
        </w:rPr>
        <w:t>月</w:t>
      </w:r>
      <w:r>
        <w:rPr>
          <w:rFonts w:hint="eastAsia" w:ascii="Times New Roman" w:hAnsi="Times New Roman"/>
          <w:color w:val="auto"/>
          <w:szCs w:val="21"/>
          <w:highlight w:val="none"/>
          <w:lang w:val="en-US" w:eastAsia="zh-CN"/>
        </w:rPr>
        <w:t>21</w:t>
      </w:r>
      <w:r>
        <w:rPr>
          <w:rFonts w:hint="eastAsia" w:ascii="Times New Roman" w:hAnsi="Times New Roman" w:eastAsia="宋体"/>
          <w:color w:val="auto"/>
          <w:szCs w:val="21"/>
          <w:highlight w:val="none"/>
        </w:rPr>
        <w:t>日</w:t>
      </w:r>
      <w:r>
        <w:rPr>
          <w:rFonts w:hint="eastAsia" w:ascii="Times New Roman" w:hAnsi="Times New Roman" w:eastAsia="宋体"/>
          <w:color w:val="auto"/>
          <w:szCs w:val="21"/>
          <w:lang w:eastAsia="zh-CN"/>
        </w:rPr>
        <w:t>下</w:t>
      </w:r>
      <w:r>
        <w:rPr>
          <w:rFonts w:hint="eastAsia" w:ascii="Times New Roman" w:hAnsi="Times New Roman" w:eastAsia="宋体"/>
          <w:color w:val="auto"/>
          <w:szCs w:val="21"/>
        </w:rPr>
        <w:t>午</w:t>
      </w:r>
      <w:r>
        <w:rPr>
          <w:rFonts w:hint="eastAsia" w:ascii="Times New Roman" w:hAnsi="Times New Roman" w:eastAsia="宋体"/>
          <w:color w:val="auto"/>
          <w:szCs w:val="21"/>
          <w:lang w:val="en-US" w:eastAsia="zh-CN"/>
        </w:rPr>
        <w:t>2</w:t>
      </w:r>
      <w:r>
        <w:rPr>
          <w:rFonts w:hint="eastAsia" w:ascii="Times New Roman" w:hAnsi="Times New Roman" w:eastAsia="宋体"/>
          <w:color w:val="auto"/>
          <w:szCs w:val="21"/>
        </w:rPr>
        <w:t>:</w:t>
      </w:r>
      <w:r>
        <w:rPr>
          <w:rFonts w:hint="eastAsia" w:ascii="Times New Roman" w:hAnsi="Times New Roman" w:eastAsia="宋体"/>
          <w:color w:val="auto"/>
          <w:szCs w:val="21"/>
          <w:lang w:val="en-US" w:eastAsia="zh-CN"/>
        </w:rPr>
        <w:t>3</w:t>
      </w:r>
      <w:r>
        <w:rPr>
          <w:rFonts w:hint="eastAsia" w:ascii="Times New Roman" w:hAnsi="Times New Roman" w:eastAsia="宋体"/>
          <w:color w:val="auto"/>
          <w:szCs w:val="21"/>
        </w:rPr>
        <w:t>0。</w:t>
      </w:r>
    </w:p>
    <w:p w14:paraId="3E36AEA4">
      <w:pPr>
        <w:pageBreakBefore w:val="0"/>
        <w:kinsoku/>
        <w:overflowPunct/>
        <w:topLinePunct w:val="0"/>
        <w:bidi w:val="0"/>
        <w:spacing w:line="360" w:lineRule="auto"/>
        <w:ind w:right="-155" w:firstLine="420" w:firstLineChars="200"/>
        <w:rPr>
          <w:rFonts w:hint="eastAsia" w:ascii="Times New Roman" w:hAnsi="Times New Roman" w:eastAsia="宋体"/>
          <w:color w:val="auto"/>
          <w:szCs w:val="21"/>
        </w:rPr>
      </w:pPr>
      <w:r>
        <w:rPr>
          <w:rFonts w:hint="eastAsia" w:ascii="Times New Roman" w:hAnsi="Times New Roman" w:eastAsia="宋体"/>
          <w:color w:val="auto"/>
          <w:szCs w:val="21"/>
        </w:rPr>
        <w:t>（二）响应文件接收截止时间：</w:t>
      </w:r>
      <w:r>
        <w:rPr>
          <w:rFonts w:hint="eastAsia" w:ascii="Times New Roman" w:hAnsi="Times New Roman" w:eastAsia="宋体"/>
          <w:color w:val="auto"/>
          <w:szCs w:val="21"/>
          <w:highlight w:val="none"/>
          <w:lang w:eastAsia="zh-CN"/>
        </w:rPr>
        <w:t>202</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lang w:val="en-US" w:eastAsia="zh-CN"/>
        </w:rPr>
        <w:t xml:space="preserve">7 </w:t>
      </w:r>
      <w:r>
        <w:rPr>
          <w:rFonts w:hint="eastAsia" w:ascii="Times New Roman" w:hAnsi="Times New Roman" w:eastAsia="宋体"/>
          <w:color w:val="auto"/>
          <w:szCs w:val="21"/>
          <w:highlight w:val="none"/>
        </w:rPr>
        <w:t>月</w:t>
      </w:r>
      <w:r>
        <w:rPr>
          <w:rFonts w:hint="eastAsia" w:ascii="Times New Roman" w:hAnsi="Times New Roman"/>
          <w:color w:val="auto"/>
          <w:szCs w:val="21"/>
          <w:highlight w:val="none"/>
          <w:lang w:val="en-US" w:eastAsia="zh-CN"/>
        </w:rPr>
        <w:t>21</w:t>
      </w:r>
      <w:r>
        <w:rPr>
          <w:rFonts w:hint="eastAsia" w:ascii="Times New Roman" w:hAnsi="Times New Roman" w:eastAsia="宋体"/>
          <w:color w:val="auto"/>
          <w:szCs w:val="21"/>
          <w:highlight w:val="none"/>
        </w:rPr>
        <w:t>日</w:t>
      </w:r>
      <w:r>
        <w:rPr>
          <w:rFonts w:hint="eastAsia" w:ascii="Times New Roman" w:hAnsi="Times New Roman" w:eastAsia="宋体"/>
          <w:color w:val="auto"/>
          <w:szCs w:val="21"/>
          <w:lang w:eastAsia="zh-CN"/>
        </w:rPr>
        <w:t>下</w:t>
      </w:r>
      <w:r>
        <w:rPr>
          <w:rFonts w:hint="eastAsia" w:ascii="Times New Roman" w:hAnsi="Times New Roman" w:eastAsia="宋体"/>
          <w:color w:val="auto"/>
          <w:szCs w:val="21"/>
        </w:rPr>
        <w:t>午</w:t>
      </w:r>
      <w:r>
        <w:rPr>
          <w:rFonts w:hint="eastAsia" w:ascii="Times New Roman" w:hAnsi="Times New Roman" w:eastAsia="宋体"/>
          <w:color w:val="auto"/>
          <w:szCs w:val="21"/>
          <w:lang w:val="en-US" w:eastAsia="zh-CN"/>
        </w:rPr>
        <w:t>3</w:t>
      </w:r>
      <w:r>
        <w:rPr>
          <w:rFonts w:hint="eastAsia" w:ascii="Times New Roman" w:hAnsi="Times New Roman" w:eastAsia="宋体"/>
          <w:color w:val="auto"/>
          <w:szCs w:val="21"/>
        </w:rPr>
        <w:t>:</w:t>
      </w:r>
      <w:r>
        <w:rPr>
          <w:rFonts w:hint="eastAsia" w:ascii="Times New Roman" w:hAnsi="Times New Roman" w:eastAsia="宋体"/>
          <w:color w:val="auto"/>
          <w:szCs w:val="21"/>
          <w:lang w:val="en-US" w:eastAsia="zh-CN"/>
        </w:rPr>
        <w:t>0</w:t>
      </w:r>
      <w:r>
        <w:rPr>
          <w:rFonts w:hint="eastAsia" w:ascii="Times New Roman" w:hAnsi="Times New Roman" w:eastAsia="宋体"/>
          <w:color w:val="auto"/>
          <w:szCs w:val="21"/>
        </w:rPr>
        <w:t>0逾期送达将作无效响应处理。</w:t>
      </w:r>
    </w:p>
    <w:p w14:paraId="4C22F4C7">
      <w:pPr>
        <w:pageBreakBefore w:val="0"/>
        <w:kinsoku/>
        <w:overflowPunct/>
        <w:topLinePunct w:val="0"/>
        <w:bidi w:val="0"/>
        <w:spacing w:line="360" w:lineRule="auto"/>
        <w:ind w:right="-155" w:firstLine="420" w:firstLineChars="200"/>
        <w:rPr>
          <w:rFonts w:hint="default" w:ascii="Times New Roman" w:hAnsi="Times New Roman" w:eastAsia="宋体"/>
          <w:color w:val="auto"/>
          <w:szCs w:val="21"/>
          <w:lang w:val="en-US" w:eastAsia="zh-CN"/>
        </w:rPr>
      </w:pPr>
      <w:r>
        <w:rPr>
          <w:rFonts w:hint="eastAsia" w:ascii="Times New Roman" w:hAnsi="Times New Roman" w:eastAsia="宋体"/>
          <w:color w:val="auto"/>
          <w:szCs w:val="21"/>
        </w:rPr>
        <w:t>（三）响应文件接收地点：扬州市疾病预防控制中心1号楼三楼1313室。</w:t>
      </w:r>
    </w:p>
    <w:p w14:paraId="4E3499FA">
      <w:pPr>
        <w:pStyle w:val="42"/>
        <w:numPr>
          <w:ilvl w:val="0"/>
          <w:numId w:val="0"/>
        </w:numPr>
        <w:ind w:left="0" w:leftChars="0" w:firstLine="420" w:firstLineChars="0"/>
        <w:rPr>
          <w:rFonts w:hint="default" w:ascii="宋体" w:hAnsi="宋体" w:eastAsia="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lang w:val="en-US" w:eastAsia="zh-CN" w:bidi="ar-SA"/>
        </w:rPr>
        <w:t>六</w:t>
      </w:r>
      <w:r>
        <w:rPr>
          <w:rFonts w:hint="eastAsia" w:ascii="宋体" w:hAnsi="宋体" w:eastAsia="宋体" w:cs="宋体"/>
          <w:b/>
          <w:bCs w:val="0"/>
          <w:color w:val="auto"/>
          <w:kern w:val="0"/>
          <w:sz w:val="21"/>
          <w:szCs w:val="21"/>
          <w:lang w:val="en-US" w:eastAsia="zh-CN" w:bidi="ar-SA"/>
        </w:rPr>
        <w:t>、</w:t>
      </w:r>
      <w:r>
        <w:rPr>
          <w:rFonts w:hint="eastAsia" w:ascii="宋体" w:hAnsi="宋体" w:eastAsia="宋体" w:cs="宋体"/>
          <w:b/>
          <w:bCs w:val="0"/>
          <w:color w:val="auto"/>
          <w:kern w:val="0"/>
          <w:sz w:val="21"/>
          <w:szCs w:val="21"/>
          <w:highlight w:val="none"/>
          <w:lang w:val="en-US" w:eastAsia="zh-CN" w:bidi="ar-SA"/>
        </w:rPr>
        <w:t>开启</w:t>
      </w:r>
    </w:p>
    <w:p w14:paraId="480E0AD6">
      <w:pPr>
        <w:pageBreakBefore w:val="0"/>
        <w:kinsoku/>
        <w:overflowPunct/>
        <w:topLinePunct w:val="0"/>
        <w:bidi w:val="0"/>
        <w:spacing w:line="360" w:lineRule="auto"/>
        <w:ind w:right="-155" w:firstLine="420" w:firstLineChars="200"/>
        <w:rPr>
          <w:rFonts w:hint="eastAsia" w:ascii="Times New Roman" w:hAnsi="Times New Roman" w:eastAsia="宋体"/>
          <w:color w:val="auto"/>
          <w:szCs w:val="21"/>
          <w:highlight w:val="none"/>
        </w:rPr>
      </w:pPr>
      <w:r>
        <w:rPr>
          <w:rFonts w:hint="eastAsia"/>
          <w:lang w:val="en-US" w:eastAsia="zh-CN"/>
        </w:rPr>
        <w:t xml:space="preserve">    </w:t>
      </w:r>
      <w:r>
        <w:rPr>
          <w:rFonts w:hint="eastAsia" w:ascii="Times New Roman" w:hAnsi="Times New Roman" w:eastAsia="宋体"/>
          <w:color w:val="auto"/>
          <w:szCs w:val="21"/>
          <w:lang w:val="en-US" w:eastAsia="zh-CN"/>
        </w:rPr>
        <w:t>时间：</w:t>
      </w:r>
      <w:r>
        <w:rPr>
          <w:rFonts w:hint="eastAsia" w:ascii="Times New Roman" w:hAnsi="Times New Roman" w:eastAsia="宋体"/>
          <w:color w:val="auto"/>
          <w:szCs w:val="21"/>
          <w:highlight w:val="none"/>
          <w:lang w:eastAsia="zh-CN"/>
        </w:rPr>
        <w:t>202</w:t>
      </w:r>
      <w:r>
        <w:rPr>
          <w:rFonts w:hint="eastAsia" w:ascii="Times New Roman" w:hAnsi="Times New Roman" w:eastAsia="宋体"/>
          <w:color w:val="auto"/>
          <w:szCs w:val="21"/>
          <w:highlight w:val="none"/>
          <w:lang w:val="en-US" w:eastAsia="zh-CN"/>
        </w:rPr>
        <w:t>5</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lang w:val="en-US" w:eastAsia="zh-CN"/>
        </w:rPr>
        <w:t xml:space="preserve">7 </w:t>
      </w:r>
      <w:r>
        <w:rPr>
          <w:rFonts w:hint="eastAsia" w:ascii="Times New Roman" w:hAnsi="Times New Roman" w:eastAsia="宋体"/>
          <w:color w:val="auto"/>
          <w:szCs w:val="21"/>
          <w:highlight w:val="none"/>
        </w:rPr>
        <w:t>月</w:t>
      </w:r>
      <w:r>
        <w:rPr>
          <w:rFonts w:hint="eastAsia" w:ascii="Times New Roman" w:hAnsi="Times New Roman"/>
          <w:color w:val="auto"/>
          <w:szCs w:val="21"/>
          <w:highlight w:val="none"/>
          <w:lang w:val="en-US" w:eastAsia="zh-CN"/>
        </w:rPr>
        <w:t>21</w:t>
      </w:r>
      <w:r>
        <w:rPr>
          <w:rFonts w:hint="eastAsia" w:ascii="Times New Roman" w:hAnsi="Times New Roman" w:eastAsia="宋体"/>
          <w:color w:val="auto"/>
          <w:szCs w:val="21"/>
          <w:highlight w:val="none"/>
        </w:rPr>
        <w:t>日</w:t>
      </w:r>
      <w:r>
        <w:rPr>
          <w:rFonts w:hint="eastAsia" w:ascii="Times New Roman" w:hAnsi="Times New Roman" w:eastAsia="宋体"/>
          <w:color w:val="auto"/>
          <w:szCs w:val="21"/>
          <w:highlight w:val="none"/>
          <w:lang w:eastAsia="zh-CN"/>
        </w:rPr>
        <w:t>下</w:t>
      </w:r>
      <w:r>
        <w:rPr>
          <w:rFonts w:hint="eastAsia" w:ascii="Times New Roman" w:hAnsi="Times New Roman" w:eastAsia="宋体"/>
          <w:color w:val="auto"/>
          <w:szCs w:val="21"/>
          <w:highlight w:val="none"/>
        </w:rPr>
        <w:t>午</w:t>
      </w:r>
      <w:r>
        <w:rPr>
          <w:rFonts w:hint="eastAsia" w:ascii="Times New Roman" w:hAnsi="Times New Roman" w:eastAsia="宋体"/>
          <w:color w:val="auto"/>
          <w:szCs w:val="21"/>
          <w:highlight w:val="none"/>
          <w:lang w:val="en-US" w:eastAsia="zh-CN"/>
        </w:rPr>
        <w:t>3</w:t>
      </w: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en-US" w:eastAsia="zh-CN"/>
        </w:rPr>
        <w:t>0</w:t>
      </w:r>
      <w:r>
        <w:rPr>
          <w:rFonts w:hint="eastAsia" w:ascii="Times New Roman" w:hAnsi="Times New Roman" w:eastAsia="宋体"/>
          <w:color w:val="auto"/>
          <w:szCs w:val="21"/>
          <w:highlight w:val="none"/>
        </w:rPr>
        <w:t>0</w:t>
      </w:r>
    </w:p>
    <w:p w14:paraId="7AF17AAA">
      <w:pPr>
        <w:pageBreakBefore w:val="0"/>
        <w:kinsoku/>
        <w:overflowPunct/>
        <w:topLinePunct w:val="0"/>
        <w:bidi w:val="0"/>
        <w:spacing w:line="360" w:lineRule="auto"/>
        <w:ind w:right="-155" w:firstLine="420" w:firstLineChars="200"/>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 xml:space="preserve">    地点：</w:t>
      </w:r>
      <w:r>
        <w:rPr>
          <w:rFonts w:hint="eastAsia" w:ascii="Times New Roman" w:hAnsi="Times New Roman" w:eastAsia="宋体"/>
          <w:color w:val="auto"/>
          <w:szCs w:val="21"/>
        </w:rPr>
        <w:t>扬州市疾病预防控制中心1号楼三楼1313室</w:t>
      </w:r>
    </w:p>
    <w:p w14:paraId="53CAC77B">
      <w:pPr>
        <w:pStyle w:val="42"/>
        <w:numPr>
          <w:ilvl w:val="0"/>
          <w:numId w:val="0"/>
        </w:numPr>
        <w:ind w:left="0" w:leftChars="0" w:firstLine="420" w:firstLineChars="0"/>
        <w:rPr>
          <w:rFonts w:hint="eastAsia" w:ascii="宋体" w:hAnsi="宋体" w:eastAsia="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lang w:val="en-US" w:eastAsia="zh-CN" w:bidi="ar-SA"/>
        </w:rPr>
        <w:t>七</w:t>
      </w:r>
      <w:r>
        <w:rPr>
          <w:rFonts w:hint="eastAsia" w:ascii="宋体" w:hAnsi="宋体" w:eastAsia="宋体" w:cs="宋体"/>
          <w:b/>
          <w:bCs w:val="0"/>
          <w:color w:val="auto"/>
          <w:kern w:val="0"/>
          <w:sz w:val="21"/>
          <w:szCs w:val="21"/>
          <w:lang w:val="en-US" w:eastAsia="zh-CN" w:bidi="ar-SA"/>
        </w:rPr>
        <w:t>、</w:t>
      </w:r>
      <w:r>
        <w:rPr>
          <w:rFonts w:hint="eastAsia" w:ascii="宋体" w:hAnsi="宋体" w:eastAsia="宋体" w:cs="宋体"/>
          <w:b/>
          <w:bCs w:val="0"/>
          <w:color w:val="auto"/>
          <w:kern w:val="0"/>
          <w:sz w:val="21"/>
          <w:szCs w:val="21"/>
          <w:highlight w:val="none"/>
          <w:lang w:val="en-US" w:eastAsia="zh-CN" w:bidi="ar-SA"/>
        </w:rPr>
        <w:t>公告期限</w:t>
      </w:r>
    </w:p>
    <w:p w14:paraId="575E5F53">
      <w:pPr>
        <w:pStyle w:val="42"/>
        <w:numPr>
          <w:ilvl w:val="0"/>
          <w:numId w:val="0"/>
        </w:numPr>
        <w:ind w:left="420" w:leftChars="0" w:firstLine="420" w:firstLineChars="200"/>
        <w:rPr>
          <w:rFonts w:hint="eastAsia" w:ascii="宋体" w:hAnsi="宋体" w:eastAsia="宋体" w:cs="宋体"/>
          <w:color w:val="auto"/>
          <w:szCs w:val="21"/>
          <w:highlight w:val="none"/>
        </w:rPr>
      </w:pPr>
      <w:r>
        <w:rPr>
          <w:rFonts w:hint="eastAsia" w:ascii="宋体" w:hAnsi="宋体" w:eastAsia="宋体" w:cs="宋体"/>
          <w:b w:val="0"/>
          <w:bCs/>
          <w:color w:val="auto"/>
          <w:kern w:val="0"/>
          <w:sz w:val="21"/>
          <w:szCs w:val="21"/>
          <w:highlight w:val="none"/>
          <w:lang w:val="en-US" w:eastAsia="zh-CN" w:bidi="ar-SA"/>
        </w:rPr>
        <w:t>自本公告发布之日起</w:t>
      </w:r>
      <w:r>
        <w:rPr>
          <w:rFonts w:hint="eastAsia" w:ascii="宋体" w:hAnsi="宋体" w:cs="宋体"/>
          <w:b w:val="0"/>
          <w:bCs/>
          <w:color w:val="auto"/>
          <w:kern w:val="0"/>
          <w:sz w:val="21"/>
          <w:szCs w:val="21"/>
          <w:highlight w:val="none"/>
          <w:lang w:val="en-US" w:eastAsia="zh-CN" w:bidi="ar-SA"/>
        </w:rPr>
        <w:t>5</w:t>
      </w:r>
      <w:r>
        <w:rPr>
          <w:rFonts w:hint="eastAsia" w:ascii="宋体" w:hAnsi="宋体" w:eastAsia="宋体" w:cs="宋体"/>
          <w:b w:val="0"/>
          <w:bCs/>
          <w:color w:val="auto"/>
          <w:kern w:val="0"/>
          <w:sz w:val="21"/>
          <w:szCs w:val="21"/>
          <w:highlight w:val="none"/>
          <w:lang w:val="en-US" w:eastAsia="zh-CN" w:bidi="ar-SA"/>
        </w:rPr>
        <w:t>个工作日</w:t>
      </w:r>
    </w:p>
    <w:p w14:paraId="2D6F3593">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八</w:t>
      </w:r>
      <w:r>
        <w:rPr>
          <w:rFonts w:hint="eastAsia" w:ascii="宋体" w:hAnsi="宋体" w:eastAsia="宋体" w:cs="宋体"/>
          <w:b/>
          <w:bCs/>
          <w:color w:val="auto"/>
          <w:szCs w:val="21"/>
          <w:highlight w:val="none"/>
        </w:rPr>
        <w:t>、本次磋商采购联系事项</w:t>
      </w:r>
    </w:p>
    <w:p w14:paraId="21B3B74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w:t>
      </w:r>
      <w:r>
        <w:rPr>
          <w:rFonts w:hint="eastAsia" w:ascii="宋体" w:hAnsi="宋体" w:cs="宋体"/>
          <w:color w:val="auto"/>
          <w:szCs w:val="21"/>
          <w:highlight w:val="none"/>
          <w:lang w:eastAsia="zh-CN"/>
        </w:rPr>
        <w:t>扬州市疾病预防控制中心工会委员会</w:t>
      </w:r>
    </w:p>
    <w:p w14:paraId="04ABF497">
      <w:pPr>
        <w:spacing w:line="360" w:lineRule="auto"/>
        <w:ind w:right="-155" w:firstLine="420" w:firstLineChars="200"/>
        <w:rPr>
          <w:rFonts w:hint="eastAsia" w:ascii="宋体" w:hAnsi="宋体" w:eastAsia="宋体"/>
          <w:color w:val="auto"/>
          <w:szCs w:val="21"/>
          <w:lang w:val="en-US" w:eastAsia="zh-CN"/>
        </w:rPr>
      </w:pPr>
      <w:r>
        <w:rPr>
          <w:rFonts w:hint="eastAsia" w:ascii="宋体" w:hAnsi="宋体"/>
          <w:color w:val="auto"/>
          <w:szCs w:val="21"/>
        </w:rPr>
        <w:t>联系人:</w:t>
      </w:r>
      <w:r>
        <w:rPr>
          <w:rFonts w:hint="eastAsia" w:ascii="宋体" w:hAnsi="宋体" w:cs="宋体"/>
          <w:color w:val="auto"/>
          <w:szCs w:val="21"/>
          <w:highlight w:val="none"/>
          <w:lang w:eastAsia="zh-CN"/>
        </w:rPr>
        <w:t>夏主任</w:t>
      </w:r>
    </w:p>
    <w:p w14:paraId="53A142D3">
      <w:pPr>
        <w:spacing w:line="360" w:lineRule="auto"/>
        <w:ind w:right="-155" w:firstLine="420" w:firstLineChars="200"/>
        <w:rPr>
          <w:rFonts w:hint="eastAsia" w:ascii="宋体" w:hAnsi="宋体" w:eastAsia="宋体"/>
          <w:color w:val="auto"/>
          <w:szCs w:val="21"/>
          <w:lang w:eastAsia="zh-CN"/>
        </w:rPr>
      </w:pPr>
      <w:r>
        <w:rPr>
          <w:rFonts w:hint="eastAsia" w:ascii="宋体" w:hAnsi="宋体"/>
          <w:color w:val="auto"/>
          <w:szCs w:val="21"/>
        </w:rPr>
        <w:t>联系电话：</w:t>
      </w:r>
      <w:r>
        <w:rPr>
          <w:rFonts w:hint="eastAsia" w:ascii="宋体" w:hAnsi="宋体" w:cs="宋体"/>
          <w:color w:val="auto"/>
          <w:szCs w:val="21"/>
          <w:highlight w:val="none"/>
        </w:rPr>
        <w:t>0514-80</w:t>
      </w:r>
      <w:r>
        <w:rPr>
          <w:rFonts w:hint="eastAsia" w:ascii="宋体" w:hAnsi="宋体" w:cs="宋体"/>
          <w:color w:val="auto"/>
          <w:szCs w:val="21"/>
          <w:highlight w:val="none"/>
          <w:lang w:val="en-US" w:eastAsia="zh-CN"/>
        </w:rPr>
        <w:t>828933</w:t>
      </w:r>
      <w:r>
        <w:rPr>
          <w:rFonts w:hint="eastAsia" w:ascii="宋体" w:hAnsi="宋体"/>
          <w:color w:val="auto"/>
          <w:szCs w:val="21"/>
          <w:lang w:val="en-US" w:eastAsia="zh-CN"/>
        </w:rPr>
        <w:t xml:space="preserve"> </w:t>
      </w:r>
    </w:p>
    <w:p w14:paraId="04B34CF3">
      <w:pPr>
        <w:spacing w:line="360" w:lineRule="auto"/>
        <w:ind w:firstLine="420" w:firstLineChars="200"/>
        <w:rPr>
          <w:rFonts w:hint="eastAsia" w:ascii="宋体" w:hAnsi="宋体" w:eastAsia="宋体" w:cs="宋体"/>
          <w:color w:val="auto"/>
          <w:szCs w:val="21"/>
          <w:highlight w:val="none"/>
        </w:rPr>
      </w:pPr>
      <w:r>
        <w:rPr>
          <w:rFonts w:hint="eastAsia" w:ascii="宋体" w:hAnsi="宋体"/>
          <w:color w:val="auto"/>
          <w:szCs w:val="21"/>
        </w:rPr>
        <w:t>地址：</w:t>
      </w:r>
      <w:r>
        <w:rPr>
          <w:rFonts w:hint="eastAsia" w:ascii="宋体" w:hAnsi="宋体"/>
          <w:color w:val="auto"/>
          <w:highlight w:val="none"/>
        </w:rPr>
        <w:t>扬州市上方寺路52号</w:t>
      </w:r>
    </w:p>
    <w:p w14:paraId="2A774740">
      <w:pPr>
        <w:keepNext w:val="0"/>
        <w:keepLines w:val="0"/>
        <w:pageBreakBefore w:val="0"/>
        <w:widowControl w:val="0"/>
        <w:tabs>
          <w:tab w:val="left" w:pos="900"/>
        </w:tabs>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其他说明事项：</w:t>
      </w:r>
    </w:p>
    <w:p w14:paraId="0FE07D4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i/>
          <w:color w:val="auto"/>
          <w:szCs w:val="21"/>
          <w:highlight w:val="none"/>
          <w:u w:val="single"/>
        </w:rPr>
        <w:t>本磋商文件中斜体下划线部分为实质性响应条件，为必须遵守的条件，如不满足将作无效响应文件处理。</w:t>
      </w:r>
    </w:p>
    <w:p w14:paraId="0052733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（二）本磋商文件提供及公告期限：自竞争性磋商公告在 “</w:t>
      </w:r>
      <w:r>
        <w:rPr>
          <w:rFonts w:hint="eastAsia" w:ascii="宋体" w:hAnsi="宋体" w:cs="宋体"/>
          <w:color w:val="auto"/>
          <w:szCs w:val="21"/>
          <w:highlight w:val="none"/>
          <w:lang w:eastAsia="zh-CN"/>
        </w:rPr>
        <w:t>扬州市疾病预防控制中心官网</w:t>
      </w:r>
      <w:r>
        <w:rPr>
          <w:rFonts w:hint="eastAsia" w:ascii="宋体" w:hAnsi="宋体" w:eastAsia="宋体" w:cs="宋体"/>
          <w:color w:val="auto"/>
          <w:szCs w:val="21"/>
          <w:highlight w:val="none"/>
        </w:rPr>
        <w:t>”发布之日起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w:t>
      </w:r>
      <w:r>
        <w:rPr>
          <w:rFonts w:hint="eastAsia" w:ascii="宋体" w:hAnsi="宋体" w:cs="宋体"/>
          <w:color w:val="000000"/>
          <w:szCs w:val="21"/>
          <w:highlight w:val="none"/>
        </w:rPr>
        <w:t>本</w:t>
      </w:r>
      <w:r>
        <w:rPr>
          <w:rFonts w:hint="eastAsia" w:ascii="宋体" w:hAnsi="宋体" w:cs="宋体"/>
          <w:color w:val="000000"/>
          <w:szCs w:val="21"/>
          <w:highlight w:val="none"/>
          <w:lang w:val="en-US" w:eastAsia="zh-CN"/>
        </w:rPr>
        <w:t>磋商</w:t>
      </w:r>
      <w:r>
        <w:rPr>
          <w:rFonts w:hint="eastAsia" w:ascii="宋体" w:hAnsi="宋体" w:cs="宋体"/>
          <w:color w:val="000000"/>
          <w:szCs w:val="21"/>
          <w:highlight w:val="none"/>
        </w:rPr>
        <w:t>文件在“扬州</w:t>
      </w:r>
      <w:r>
        <w:rPr>
          <w:rFonts w:hint="eastAsia" w:ascii="宋体" w:hAnsi="宋体" w:cs="宋体"/>
          <w:color w:val="000000"/>
          <w:szCs w:val="21"/>
          <w:highlight w:val="none"/>
          <w:lang w:val="en-US" w:eastAsia="zh-CN"/>
        </w:rPr>
        <w:t>市疾病预防控制中心</w:t>
      </w:r>
      <w:r>
        <w:rPr>
          <w:rFonts w:hint="eastAsia" w:ascii="宋体" w:hAnsi="宋体" w:cs="宋体"/>
          <w:color w:val="000000"/>
          <w:szCs w:val="21"/>
          <w:highlight w:val="none"/>
        </w:rPr>
        <w:t>”网站自行下载，供应商如确定参加</w:t>
      </w:r>
      <w:r>
        <w:rPr>
          <w:rFonts w:hint="eastAsia" w:ascii="宋体" w:hAnsi="宋体" w:cs="宋体"/>
          <w:color w:val="000000"/>
          <w:szCs w:val="21"/>
          <w:highlight w:val="none"/>
          <w:lang w:val="en-US" w:eastAsia="zh-CN"/>
        </w:rPr>
        <w:t>磋商</w:t>
      </w:r>
      <w:r>
        <w:rPr>
          <w:rFonts w:hint="eastAsia" w:ascii="宋体" w:hAnsi="宋体" w:cs="宋体"/>
          <w:color w:val="000000"/>
          <w:szCs w:val="21"/>
          <w:highlight w:val="none"/>
        </w:rPr>
        <w:t>，请如实填写《供应商参加</w:t>
      </w:r>
      <w:r>
        <w:rPr>
          <w:rFonts w:hint="eastAsia" w:ascii="宋体" w:hAnsi="宋体" w:cs="宋体"/>
          <w:color w:val="000000"/>
          <w:szCs w:val="21"/>
          <w:highlight w:val="none"/>
          <w:lang w:val="en-US" w:eastAsia="zh-CN"/>
        </w:rPr>
        <w:t>磋商</w:t>
      </w:r>
      <w:r>
        <w:rPr>
          <w:rFonts w:hint="eastAsia" w:ascii="宋体" w:hAnsi="宋体" w:cs="宋体"/>
          <w:color w:val="000000"/>
          <w:szCs w:val="21"/>
          <w:highlight w:val="none"/>
        </w:rPr>
        <w:t>确认函》填写打印后加盖公章，拍照或扫描发送至邮箱</w:t>
      </w:r>
      <w:r>
        <w:rPr>
          <w:rFonts w:hint="eastAsia" w:ascii="宋体" w:hAnsi="宋体" w:cs="宋体"/>
          <w:color w:val="000000"/>
          <w:kern w:val="0"/>
          <w:szCs w:val="21"/>
          <w:highlight w:val="none"/>
        </w:rPr>
        <w:t>（</w:t>
      </w:r>
      <w:bookmarkStart w:id="11" w:name="EBba9c9bd7b5a64bcfb0f2dcb71e0ea086"/>
      <w:r>
        <w:rPr>
          <w:rFonts w:hint="eastAsia" w:ascii="宋体" w:hAnsi="宋体" w:cs="宋体"/>
          <w:color w:val="000000"/>
          <w:szCs w:val="21"/>
          <w:highlight w:val="none"/>
        </w:rPr>
        <w:t>电子邮箱：</w:t>
      </w:r>
      <w:bookmarkEnd w:id="11"/>
      <w:r>
        <w:rPr>
          <w:rFonts w:hint="eastAsia" w:ascii="宋体" w:hAnsi="宋体" w:cs="宋体"/>
          <w:color w:val="000000"/>
          <w:szCs w:val="21"/>
          <w:highlight w:val="none"/>
          <w:lang w:val="en-US" w:eastAsia="zh-CN"/>
        </w:rPr>
        <w:t xml:space="preserve"> 610315478@qq.com    </w:t>
      </w:r>
      <w:r>
        <w:rPr>
          <w:rFonts w:hint="eastAsia" w:ascii="宋体" w:hAnsi="宋体" w:cs="宋体"/>
          <w:color w:val="000000"/>
          <w:szCs w:val="21"/>
          <w:highlight w:val="none"/>
        </w:rPr>
        <w:t>，邮件标题备注企业全称+项目简称，联系电话：0514-8</w:t>
      </w:r>
      <w:r>
        <w:rPr>
          <w:rFonts w:hint="eastAsia" w:ascii="宋体" w:hAnsi="宋体" w:cs="宋体"/>
          <w:color w:val="000000"/>
          <w:szCs w:val="21"/>
          <w:highlight w:val="none"/>
          <w:lang w:val="en-US" w:eastAsia="zh-CN"/>
        </w:rPr>
        <w:t>0828933</w:t>
      </w:r>
      <w:r>
        <w:rPr>
          <w:rFonts w:hint="eastAsia" w:ascii="宋体" w:hAnsi="宋体" w:cs="宋体"/>
          <w:color w:val="000000"/>
          <w:szCs w:val="21"/>
          <w:highlight w:val="none"/>
        </w:rPr>
        <w:t>）。如供应商未按上述要求去做，将自行承担所产生的风险。有关本次</w:t>
      </w:r>
      <w:r>
        <w:rPr>
          <w:rFonts w:hint="eastAsia" w:ascii="宋体" w:hAnsi="宋体" w:cs="宋体"/>
          <w:color w:val="000000"/>
          <w:szCs w:val="21"/>
          <w:highlight w:val="none"/>
          <w:lang w:val="en-US" w:eastAsia="zh-CN"/>
        </w:rPr>
        <w:t>磋商</w:t>
      </w:r>
      <w:r>
        <w:rPr>
          <w:rFonts w:hint="eastAsia" w:ascii="宋体" w:hAnsi="宋体" w:cs="宋体"/>
          <w:color w:val="000000"/>
          <w:szCs w:val="21"/>
          <w:highlight w:val="none"/>
        </w:rPr>
        <w:t>的事项若存在变动或修改，敬请及时关注“扬州</w:t>
      </w:r>
      <w:r>
        <w:rPr>
          <w:rFonts w:hint="eastAsia" w:ascii="宋体" w:hAnsi="宋体" w:cs="宋体"/>
          <w:color w:val="000000"/>
          <w:szCs w:val="21"/>
          <w:highlight w:val="none"/>
          <w:lang w:val="en-US" w:eastAsia="zh-CN"/>
        </w:rPr>
        <w:t>市疾病预防控制中心</w:t>
      </w:r>
      <w:r>
        <w:rPr>
          <w:rFonts w:hint="eastAsia" w:ascii="宋体" w:hAnsi="宋体" w:cs="宋体"/>
          <w:color w:val="000000"/>
          <w:szCs w:val="21"/>
          <w:highlight w:val="none"/>
        </w:rPr>
        <w:t>”网站发布的信息或更正公告。</w:t>
      </w:r>
      <w:r>
        <w:rPr>
          <w:rFonts w:hint="eastAsia" w:ascii="宋体" w:hAnsi="宋体" w:eastAsia="宋体" w:cs="宋体"/>
          <w:color w:val="auto"/>
          <w:szCs w:val="21"/>
          <w:highlight w:val="none"/>
        </w:rPr>
        <w:t>未报名者、超过时限者不得前来投标，内容不全者后果自负。</w:t>
      </w:r>
    </w:p>
    <w:p w14:paraId="7B26A9D8">
      <w:pPr>
        <w:pStyle w:val="10"/>
        <w:rPr>
          <w:rFonts w:hint="eastAsia" w:ascii="宋体" w:hAnsi="宋体" w:eastAsia="宋体" w:cs="宋体"/>
          <w:color w:val="auto"/>
          <w:szCs w:val="21"/>
          <w:highlight w:val="none"/>
        </w:rPr>
      </w:pPr>
    </w:p>
    <w:p w14:paraId="136891C5">
      <w:pPr>
        <w:pStyle w:val="11"/>
        <w:rPr>
          <w:rFonts w:hint="eastAsia" w:ascii="宋体" w:hAnsi="宋体" w:eastAsia="宋体" w:cs="宋体"/>
          <w:color w:val="auto"/>
          <w:szCs w:val="21"/>
          <w:highlight w:val="none"/>
        </w:rPr>
      </w:pPr>
    </w:p>
    <w:p w14:paraId="0488C861">
      <w:pPr>
        <w:pStyle w:val="11"/>
        <w:rPr>
          <w:rFonts w:hint="eastAsia" w:ascii="宋体" w:hAnsi="宋体" w:eastAsia="宋体" w:cs="宋体"/>
          <w:color w:val="auto"/>
          <w:szCs w:val="21"/>
          <w:highlight w:val="none"/>
        </w:rPr>
      </w:pPr>
    </w:p>
    <w:p w14:paraId="75C4746A">
      <w:pPr>
        <w:pStyle w:val="11"/>
        <w:rPr>
          <w:rFonts w:hint="eastAsia" w:ascii="宋体" w:hAnsi="宋体" w:eastAsia="宋体" w:cs="宋体"/>
          <w:color w:val="auto"/>
          <w:szCs w:val="21"/>
          <w:highlight w:val="none"/>
        </w:rPr>
      </w:pPr>
    </w:p>
    <w:p w14:paraId="7395A9B3">
      <w:pPr>
        <w:pStyle w:val="11"/>
        <w:rPr>
          <w:rFonts w:hint="eastAsia" w:ascii="宋体" w:hAnsi="宋体" w:eastAsia="宋体" w:cs="宋体"/>
          <w:color w:val="auto"/>
          <w:szCs w:val="21"/>
          <w:highlight w:val="none"/>
        </w:rPr>
      </w:pPr>
    </w:p>
    <w:p w14:paraId="2E523611">
      <w:pPr>
        <w:pStyle w:val="11"/>
        <w:rPr>
          <w:rFonts w:hint="eastAsia" w:ascii="宋体" w:hAnsi="宋体" w:eastAsia="宋体" w:cs="宋体"/>
          <w:color w:val="auto"/>
          <w:szCs w:val="21"/>
          <w:highlight w:val="none"/>
        </w:rPr>
      </w:pPr>
    </w:p>
    <w:p w14:paraId="73037F4F">
      <w:pPr>
        <w:pStyle w:val="11"/>
        <w:rPr>
          <w:rFonts w:hint="eastAsia" w:ascii="宋体" w:hAnsi="宋体" w:eastAsia="宋体" w:cs="宋体"/>
          <w:color w:val="auto"/>
          <w:szCs w:val="21"/>
          <w:highlight w:val="none"/>
        </w:rPr>
      </w:pPr>
    </w:p>
    <w:p w14:paraId="6C8C6002">
      <w:pPr>
        <w:pStyle w:val="11"/>
        <w:rPr>
          <w:rFonts w:hint="eastAsia" w:ascii="宋体" w:hAnsi="宋体" w:eastAsia="宋体" w:cs="宋体"/>
          <w:color w:val="auto"/>
          <w:szCs w:val="21"/>
          <w:highlight w:val="none"/>
        </w:rPr>
      </w:pPr>
    </w:p>
    <w:p w14:paraId="68A1212F">
      <w:pPr>
        <w:pStyle w:val="11"/>
        <w:rPr>
          <w:rFonts w:hint="eastAsia" w:ascii="宋体" w:hAnsi="宋体" w:eastAsia="宋体" w:cs="宋体"/>
          <w:color w:val="auto"/>
          <w:szCs w:val="21"/>
          <w:highlight w:val="none"/>
        </w:rPr>
      </w:pPr>
    </w:p>
    <w:p w14:paraId="65EEAF70">
      <w:pPr>
        <w:pStyle w:val="11"/>
        <w:rPr>
          <w:rFonts w:hint="eastAsia" w:ascii="宋体" w:hAnsi="宋体" w:eastAsia="宋体" w:cs="宋体"/>
          <w:color w:val="auto"/>
          <w:szCs w:val="21"/>
          <w:highlight w:val="none"/>
        </w:rPr>
      </w:pPr>
    </w:p>
    <w:p w14:paraId="0A46D6A8">
      <w:pPr>
        <w:pStyle w:val="11"/>
        <w:rPr>
          <w:rFonts w:hint="eastAsia" w:ascii="宋体" w:hAnsi="宋体" w:eastAsia="宋体" w:cs="宋体"/>
          <w:color w:val="auto"/>
          <w:szCs w:val="21"/>
          <w:highlight w:val="none"/>
        </w:rPr>
      </w:pPr>
    </w:p>
    <w:p w14:paraId="4FF7CC6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rPr>
      </w:pPr>
    </w:p>
    <w:bookmarkEnd w:id="1"/>
    <w:bookmarkEnd w:id="2"/>
    <w:bookmarkEnd w:id="3"/>
    <w:bookmarkEnd w:id="4"/>
    <w:bookmarkEnd w:id="5"/>
    <w:p w14:paraId="116D4345">
      <w:pPr>
        <w:wordWrap w:val="0"/>
        <w:spacing w:line="360" w:lineRule="auto"/>
        <w:jc w:val="center"/>
        <w:rPr>
          <w:rFonts w:ascii="宋体" w:hAnsi="宋体" w:cs="宋体"/>
          <w:b/>
          <w:bCs/>
          <w:color w:val="auto"/>
          <w:szCs w:val="21"/>
          <w:highlight w:val="none"/>
        </w:rPr>
      </w:pPr>
      <w:r>
        <w:rPr>
          <w:rFonts w:hint="eastAsia" w:ascii="宋体" w:hAnsi="宋体"/>
          <w:b/>
          <w:bCs/>
          <w:color w:val="auto"/>
          <w:sz w:val="36"/>
          <w:highlight w:val="none"/>
        </w:rPr>
        <w:t>第二章磋商须知</w:t>
      </w:r>
    </w:p>
    <w:p w14:paraId="13D23DE1">
      <w:pPr>
        <w:spacing w:line="360" w:lineRule="auto"/>
        <w:jc w:val="center"/>
        <w:rPr>
          <w:rFonts w:ascii="宋体" w:cs="宋体"/>
          <w:b/>
          <w:bCs/>
          <w:color w:val="auto"/>
          <w:szCs w:val="21"/>
          <w:highlight w:val="none"/>
        </w:rPr>
      </w:pPr>
      <w:r>
        <w:rPr>
          <w:rFonts w:hint="eastAsia" w:ascii="宋体" w:hAnsi="宋体" w:cs="宋体"/>
          <w:bCs/>
          <w:color w:val="auto"/>
          <w:szCs w:val="21"/>
          <w:highlight w:val="none"/>
        </w:rPr>
        <w:t>（参加竞争性磋商的供应商以下简称“磋商供应商”）</w:t>
      </w:r>
    </w:p>
    <w:p w14:paraId="22899341">
      <w:pPr>
        <w:tabs>
          <w:tab w:val="left" w:pos="900"/>
        </w:tabs>
        <w:spacing w:line="360" w:lineRule="auto"/>
        <w:ind w:firstLine="420" w:firstLineChars="200"/>
        <w:rPr>
          <w:rFonts w:ascii="宋体" w:hAnsi="宋体" w:cs="宋体"/>
          <w:color w:val="auto"/>
          <w:szCs w:val="21"/>
          <w:highlight w:val="none"/>
        </w:rPr>
      </w:pPr>
      <w:bookmarkStart w:id="12" w:name="OLE_LINK69"/>
      <w:bookmarkEnd w:id="12"/>
      <w:r>
        <w:rPr>
          <w:rFonts w:ascii="宋体" w:hAnsi="宋体" w:cs="宋体"/>
          <w:color w:val="auto"/>
          <w:szCs w:val="21"/>
          <w:highlight w:val="none"/>
        </w:rPr>
        <w:t>1</w:t>
      </w:r>
      <w:r>
        <w:rPr>
          <w:rFonts w:hint="eastAsia" w:ascii="宋体" w:hAnsi="宋体" w:cs="宋体"/>
          <w:color w:val="auto"/>
          <w:szCs w:val="21"/>
          <w:highlight w:val="none"/>
        </w:rPr>
        <w:t>、适用范围</w:t>
      </w:r>
    </w:p>
    <w:p w14:paraId="3CB1200B">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 </w:t>
      </w:r>
      <w:r>
        <w:rPr>
          <w:rFonts w:hint="eastAsia" w:ascii="宋体" w:hAnsi="宋体" w:cs="宋体"/>
          <w:color w:val="auto"/>
          <w:szCs w:val="21"/>
          <w:highlight w:val="none"/>
        </w:rPr>
        <w:t>本竞争性磋商文件（以下简称磋商文件）仅适用此项目。</w:t>
      </w:r>
    </w:p>
    <w:p w14:paraId="10215BCD">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、项目采购方式</w:t>
      </w:r>
    </w:p>
    <w:p w14:paraId="1406C8A1">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本次采购采取竞争性磋商的方式。</w:t>
      </w:r>
    </w:p>
    <w:p w14:paraId="62D0A571">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、合格的磋商供应商</w:t>
      </w:r>
    </w:p>
    <w:p w14:paraId="7143D55B">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满足本磋商文件“竞争性磋商采购邀请”中合格磋商供应商资格要求的规定。</w:t>
      </w:r>
    </w:p>
    <w:p w14:paraId="38534608">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3.2 </w:t>
      </w:r>
      <w:r>
        <w:rPr>
          <w:rFonts w:hint="eastAsia" w:ascii="宋体" w:hAnsi="宋体" w:cs="宋体"/>
          <w:color w:val="auto"/>
          <w:szCs w:val="21"/>
          <w:highlight w:val="none"/>
        </w:rPr>
        <w:t>满足本磋商文件实质性要求和条件的规定。</w:t>
      </w:r>
    </w:p>
    <w:p w14:paraId="7215CB67">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、参加磋商费用</w:t>
      </w:r>
    </w:p>
    <w:p w14:paraId="138115B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无</w:t>
      </w:r>
    </w:p>
    <w:p w14:paraId="5AD5E991">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、磋商文件的约束力</w:t>
      </w:r>
    </w:p>
    <w:p w14:paraId="7346E5E5">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供应商一旦</w:t>
      </w:r>
      <w:r>
        <w:rPr>
          <w:rFonts w:hint="eastAsia" w:ascii="宋体" w:hAnsi="宋体" w:cs="宋体"/>
          <w:color w:val="auto"/>
          <w:szCs w:val="21"/>
          <w:highlight w:val="none"/>
          <w:lang w:val="en-US" w:eastAsia="zh-CN"/>
        </w:rPr>
        <w:t>获取</w:t>
      </w:r>
      <w:r>
        <w:rPr>
          <w:rFonts w:hint="eastAsia" w:ascii="宋体" w:hAnsi="宋体" w:cs="宋体"/>
          <w:color w:val="auto"/>
          <w:szCs w:val="21"/>
          <w:highlight w:val="none"/>
        </w:rPr>
        <w:t>了本磋商文件并决定参加磋商，即被认为接受了本磋商文件的规定和约束，并且视为自竞争性磋商公告期限届满之日起已经知道或应当知道自身权益是否受到了损害。</w:t>
      </w:r>
    </w:p>
    <w:p w14:paraId="61F85BF9">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bookmarkStart w:id="13" w:name="_Toc16938527"/>
      <w:bookmarkStart w:id="14" w:name="_Toc513029211"/>
      <w:bookmarkStart w:id="15" w:name="_Toc20823283"/>
      <w:bookmarkStart w:id="16" w:name="_Toc462564070"/>
      <w:r>
        <w:rPr>
          <w:rFonts w:hint="eastAsia" w:ascii="宋体" w:hAnsi="宋体" w:cs="宋体"/>
          <w:color w:val="auto"/>
          <w:szCs w:val="21"/>
          <w:highlight w:val="none"/>
        </w:rPr>
        <w:t>磋商文件的</w:t>
      </w:r>
      <w:bookmarkEnd w:id="13"/>
      <w:bookmarkEnd w:id="14"/>
      <w:bookmarkEnd w:id="15"/>
      <w:bookmarkEnd w:id="16"/>
      <w:r>
        <w:rPr>
          <w:rFonts w:hint="eastAsia" w:ascii="宋体" w:hAnsi="宋体" w:cs="宋体"/>
          <w:color w:val="auto"/>
          <w:szCs w:val="21"/>
          <w:highlight w:val="none"/>
        </w:rPr>
        <w:t>询问及修改</w:t>
      </w:r>
    </w:p>
    <w:p w14:paraId="78EC0A3F">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任何要求对磋商文件进行询问的供应商，均应在提交首次响应文件截止时间</w:t>
      </w:r>
      <w:r>
        <w:rPr>
          <w:rFonts w:ascii="宋体" w:hAnsi="宋体" w:cs="宋体"/>
          <w:color w:val="auto"/>
          <w:szCs w:val="21"/>
          <w:highlight w:val="none"/>
        </w:rPr>
        <w:t>5</w:t>
      </w:r>
      <w:r>
        <w:rPr>
          <w:rFonts w:hint="eastAsia" w:ascii="宋体" w:hAnsi="宋体" w:cs="宋体"/>
          <w:color w:val="auto"/>
          <w:szCs w:val="21"/>
          <w:highlight w:val="none"/>
        </w:rPr>
        <w:t>日前按采购邀请中的通讯地址，向采购人提出。提交首次响应文件截止之日前，</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可以对已发出的磋商文件进行必要的澄清或者修改，澄清或者修改的内容作为磋商文件的组成部分。澄清或者修改的内容可能影响响应文件编制的，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日前，发布更正公告通知所有获取磋商文件的供应商。不足</w:t>
      </w:r>
      <w:r>
        <w:rPr>
          <w:rFonts w:ascii="宋体" w:hAnsi="宋体" w:cs="宋体"/>
          <w:color w:val="auto"/>
          <w:szCs w:val="21"/>
          <w:highlight w:val="none"/>
        </w:rPr>
        <w:t>5</w:t>
      </w:r>
      <w:r>
        <w:rPr>
          <w:rFonts w:hint="eastAsia" w:ascii="宋体" w:hAnsi="宋体" w:cs="宋体"/>
          <w:color w:val="auto"/>
          <w:szCs w:val="21"/>
          <w:highlight w:val="none"/>
        </w:rPr>
        <w:t>日的，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应当顺延提交首次响应文件截止时间。</w:t>
      </w:r>
    </w:p>
    <w:p w14:paraId="1C16B1FE">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、磋商文件的解释</w:t>
      </w:r>
    </w:p>
    <w:p w14:paraId="5F23E621">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 xml:space="preserve">7.1 </w:t>
      </w:r>
      <w:r>
        <w:rPr>
          <w:rFonts w:hint="eastAsia" w:ascii="宋体" w:hAnsi="宋体" w:cs="宋体"/>
          <w:bCs/>
          <w:color w:val="auto"/>
          <w:szCs w:val="21"/>
          <w:highlight w:val="none"/>
        </w:rPr>
        <w:t>本磋商文件由</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负责解释。</w:t>
      </w:r>
    </w:p>
    <w:p w14:paraId="3AC32043">
      <w:pPr>
        <w:tabs>
          <w:tab w:val="left" w:pos="900"/>
        </w:tabs>
        <w:spacing w:line="360" w:lineRule="auto"/>
        <w:ind w:firstLine="422" w:firstLineChars="200"/>
        <w:rPr>
          <w:rFonts w:ascii="宋体" w:cs="宋体"/>
          <w:b/>
          <w:color w:val="auto"/>
          <w:szCs w:val="21"/>
          <w:highlight w:val="none"/>
        </w:rPr>
      </w:pPr>
      <w:bookmarkStart w:id="17" w:name="_Hlt26954832"/>
      <w:bookmarkEnd w:id="17"/>
      <w:bookmarkStart w:id="18" w:name="_Hlt26670348"/>
      <w:bookmarkEnd w:id="18"/>
      <w:bookmarkStart w:id="19" w:name="_Hlt26954830"/>
      <w:bookmarkEnd w:id="19"/>
      <w:bookmarkStart w:id="20" w:name="_Hlt26670354"/>
      <w:bookmarkEnd w:id="20"/>
      <w:bookmarkStart w:id="21" w:name="_Hlt26670345"/>
      <w:bookmarkEnd w:id="21"/>
      <w:bookmarkStart w:id="22" w:name="_Hlt26954828"/>
      <w:bookmarkEnd w:id="22"/>
      <w:bookmarkStart w:id="23" w:name="_Hlt26668969"/>
      <w:bookmarkEnd w:id="23"/>
      <w:bookmarkStart w:id="24" w:name="_Toc14577351"/>
      <w:bookmarkStart w:id="25" w:name="_Toc462564072"/>
      <w:bookmarkStart w:id="26" w:name="_Toc61149553"/>
      <w:bookmarkStart w:id="27" w:name="_Toc513029213"/>
      <w:r>
        <w:rPr>
          <w:rFonts w:hint="eastAsia" w:ascii="宋体" w:hAnsi="宋体" w:cs="宋体"/>
          <w:b/>
          <w:color w:val="auto"/>
          <w:szCs w:val="21"/>
          <w:highlight w:val="none"/>
        </w:rPr>
        <w:t>二、磋商响应文件的编制</w:t>
      </w:r>
      <w:bookmarkEnd w:id="24"/>
      <w:bookmarkEnd w:id="25"/>
      <w:bookmarkEnd w:id="26"/>
      <w:bookmarkEnd w:id="27"/>
    </w:p>
    <w:p w14:paraId="79C40183">
      <w:pPr>
        <w:tabs>
          <w:tab w:val="left" w:pos="900"/>
        </w:tabs>
        <w:spacing w:line="360" w:lineRule="auto"/>
        <w:ind w:firstLine="420" w:firstLineChars="200"/>
        <w:rPr>
          <w:rFonts w:ascii="宋体" w:cs="宋体"/>
          <w:color w:val="auto"/>
          <w:szCs w:val="21"/>
          <w:highlight w:val="none"/>
        </w:rPr>
      </w:pPr>
      <w:bookmarkStart w:id="28" w:name="_Toc513029223"/>
      <w:bookmarkStart w:id="29" w:name="_Toc61149561"/>
      <w:bookmarkStart w:id="30" w:name="_Toc14577361"/>
      <w:r>
        <w:rPr>
          <w:rFonts w:ascii="宋体" w:hAnsi="宋体" w:cs="宋体"/>
          <w:color w:val="auto"/>
          <w:szCs w:val="21"/>
          <w:highlight w:val="none"/>
        </w:rPr>
        <w:t>1</w:t>
      </w:r>
      <w:r>
        <w:rPr>
          <w:rFonts w:hint="eastAsia" w:ascii="宋体" w:hAnsi="宋体" w:cs="宋体"/>
          <w:color w:val="auto"/>
          <w:szCs w:val="21"/>
          <w:highlight w:val="none"/>
        </w:rPr>
        <w:t>、磋商响应文件份数和签署</w:t>
      </w:r>
      <w:bookmarkEnd w:id="28"/>
      <w:bookmarkEnd w:id="29"/>
      <w:bookmarkEnd w:id="30"/>
    </w:p>
    <w:p w14:paraId="4ECDBA6B">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磋商供应商应严格按照采购邀请要求准备磋商响应文件（以下简称响应文件），每份响应文件须清楚地标明“正本”或“副本”字样。</w:t>
      </w:r>
    </w:p>
    <w:p w14:paraId="40BB02D4">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14:paraId="7FA2B059">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除磋商供应商对错处做必要修改外，响应文件不得行间插字、涂改或增删。如有修改错漏处，必须由响应文件签署人签字或盖章。</w:t>
      </w:r>
    </w:p>
    <w:p w14:paraId="66F2627E">
      <w:pPr>
        <w:tabs>
          <w:tab w:val="left" w:pos="900"/>
        </w:tabs>
        <w:spacing w:line="360" w:lineRule="auto"/>
        <w:ind w:firstLine="525" w:firstLineChars="250"/>
        <w:rPr>
          <w:rFonts w:ascii="宋体" w:cs="宋体"/>
          <w:color w:val="auto"/>
          <w:szCs w:val="21"/>
          <w:highlight w:val="none"/>
        </w:rPr>
      </w:pPr>
      <w:bookmarkStart w:id="31" w:name="_Hlt26954834"/>
      <w:bookmarkEnd w:id="31"/>
      <w:bookmarkStart w:id="32" w:name="_Toc61149555"/>
      <w:bookmarkStart w:id="33" w:name="_Toc513029215"/>
      <w:bookmarkStart w:id="34" w:name="_Toc14577353"/>
      <w:bookmarkStart w:id="35" w:name="_Toc462564074"/>
      <w:bookmarkStart w:id="36" w:name="_Toc513029214"/>
      <w:bookmarkStart w:id="37" w:name="_Toc61149554"/>
      <w:bookmarkStart w:id="38" w:name="_Toc14577352"/>
      <w:bookmarkStart w:id="39" w:name="_Toc462564073"/>
      <w:r>
        <w:rPr>
          <w:rFonts w:ascii="宋体" w:hAnsi="宋体" w:cs="宋体"/>
          <w:color w:val="auto"/>
          <w:szCs w:val="21"/>
          <w:highlight w:val="none"/>
        </w:rPr>
        <w:t>2</w:t>
      </w:r>
      <w:r>
        <w:rPr>
          <w:rFonts w:hint="eastAsia" w:ascii="宋体" w:hAnsi="宋体" w:cs="宋体"/>
          <w:color w:val="auto"/>
          <w:szCs w:val="21"/>
          <w:highlight w:val="none"/>
        </w:rPr>
        <w:t>、响应文件</w:t>
      </w:r>
      <w:bookmarkEnd w:id="32"/>
      <w:bookmarkEnd w:id="33"/>
      <w:bookmarkEnd w:id="34"/>
      <w:bookmarkEnd w:id="35"/>
      <w:r>
        <w:rPr>
          <w:rFonts w:hint="eastAsia" w:ascii="宋体" w:hAnsi="宋体" w:cs="宋体"/>
          <w:color w:val="auto"/>
          <w:szCs w:val="21"/>
          <w:highlight w:val="none"/>
        </w:rPr>
        <w:t>编制要求</w:t>
      </w:r>
    </w:p>
    <w:bookmarkEnd w:id="36"/>
    <w:bookmarkEnd w:id="37"/>
    <w:bookmarkEnd w:id="38"/>
    <w:bookmarkEnd w:id="39"/>
    <w:p w14:paraId="2AB8A9C7">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磋商供应商提交的响应文件以及磋商供应商与采购人就有关磋商的所有来往函电均应使用简体中文。磋商文件中既有中文也有外文的，以中文意义为准。</w:t>
      </w:r>
    </w:p>
    <w:p w14:paraId="3AC3B1A3">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除技术性能另有规定外，响应文件所使用的度量衡单位，均须采用国家法定计量单位。</w:t>
      </w:r>
    </w:p>
    <w:p w14:paraId="50C00DAD">
      <w:pPr>
        <w:tabs>
          <w:tab w:val="left" w:pos="900"/>
        </w:tabs>
        <w:spacing w:line="360" w:lineRule="auto"/>
        <w:ind w:firstLine="525" w:firstLineChars="250"/>
        <w:rPr>
          <w:rFonts w:ascii="宋体" w:cs="宋体"/>
          <w:color w:val="auto"/>
          <w:szCs w:val="21"/>
          <w:highlight w:val="none"/>
        </w:rPr>
      </w:pPr>
      <w:bookmarkStart w:id="40" w:name="_Hlt26670357"/>
      <w:bookmarkEnd w:id="40"/>
      <w:bookmarkStart w:id="41" w:name="_Hlt26954836"/>
      <w:bookmarkEnd w:id="41"/>
      <w:bookmarkStart w:id="42" w:name="_Toc14577357"/>
      <w:bookmarkStart w:id="43" w:name="_Toc513029219"/>
      <w:bookmarkStart w:id="44" w:name="_Toc61149558"/>
      <w:bookmarkStart w:id="45" w:name="_Toc513029217"/>
      <w:bookmarkStart w:id="46" w:name="_Toc14577355"/>
      <w:bookmarkStart w:id="47" w:name="_Toc61149557"/>
      <w:r>
        <w:rPr>
          <w:rFonts w:ascii="宋体" w:hAnsi="宋体" w:cs="宋体"/>
          <w:color w:val="auto"/>
          <w:szCs w:val="21"/>
          <w:highlight w:val="none"/>
        </w:rPr>
        <w:t>3</w:t>
      </w:r>
      <w:r>
        <w:rPr>
          <w:rFonts w:hint="eastAsia" w:ascii="宋体" w:hAnsi="宋体" w:cs="宋体"/>
          <w:color w:val="auto"/>
          <w:szCs w:val="21"/>
          <w:highlight w:val="none"/>
        </w:rPr>
        <w:t>、参加磋商供应商资格的文件</w:t>
      </w:r>
      <w:bookmarkEnd w:id="42"/>
      <w:bookmarkEnd w:id="43"/>
      <w:bookmarkEnd w:id="44"/>
      <w:r>
        <w:rPr>
          <w:rFonts w:hint="eastAsia" w:ascii="宋体" w:hAnsi="宋体" w:cs="宋体"/>
          <w:color w:val="auto"/>
          <w:szCs w:val="21"/>
          <w:highlight w:val="none"/>
        </w:rPr>
        <w:t>证明</w:t>
      </w:r>
    </w:p>
    <w:p w14:paraId="414838EF">
      <w:pPr>
        <w:tabs>
          <w:tab w:val="left" w:pos="900"/>
        </w:tabs>
        <w:spacing w:line="360" w:lineRule="auto"/>
        <w:ind w:firstLine="420" w:firstLineChars="200"/>
        <w:rPr>
          <w:rFonts w:ascii="宋体" w:cs="宋体"/>
          <w:color w:val="auto"/>
          <w:szCs w:val="21"/>
          <w:highlight w:val="none"/>
        </w:rPr>
      </w:pPr>
      <w:bookmarkStart w:id="48" w:name="_Hlt26668999"/>
      <w:bookmarkEnd w:id="48"/>
      <w:r>
        <w:rPr>
          <w:rFonts w:ascii="宋体" w:hAnsi="宋体" w:cs="宋体"/>
          <w:color w:val="auto"/>
          <w:szCs w:val="21"/>
          <w:highlight w:val="none"/>
        </w:rPr>
        <w:t>3.1</w:t>
      </w:r>
      <w:r>
        <w:rPr>
          <w:rFonts w:hint="eastAsia" w:ascii="宋体" w:hAnsi="宋体" w:cs="宋体"/>
          <w:color w:val="auto"/>
          <w:szCs w:val="21"/>
          <w:highlight w:val="none"/>
        </w:rPr>
        <w:t>磋商供应商应提交证明其有资格参加磋商和成交后有能力独立履行合同的文件，并作为其响应文件的一部分。</w:t>
      </w:r>
    </w:p>
    <w:p w14:paraId="3A0B7935">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磋商供应商除必须具有履行合同所需提供的设备以及服务的能力外，还必须具备相应的财务、技术方面的能力。</w:t>
      </w:r>
    </w:p>
    <w:p w14:paraId="110820CA">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磋商供应商应填写并提交磋商文件所附的“资格证明文件”。</w:t>
      </w:r>
    </w:p>
    <w:p w14:paraId="709033F9">
      <w:pPr>
        <w:tabs>
          <w:tab w:val="left" w:pos="900"/>
        </w:tabs>
        <w:spacing w:line="360" w:lineRule="auto"/>
        <w:ind w:firstLine="525" w:firstLineChars="25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、磋商响应报价</w:t>
      </w:r>
      <w:bookmarkEnd w:id="45"/>
      <w:bookmarkEnd w:id="46"/>
      <w:bookmarkStart w:id="49" w:name="_Hlt26670373"/>
      <w:bookmarkEnd w:id="49"/>
      <w:r>
        <w:rPr>
          <w:rFonts w:hint="eastAsia" w:ascii="宋体" w:hAnsi="宋体" w:cs="宋体"/>
          <w:color w:val="auto"/>
          <w:szCs w:val="21"/>
          <w:highlight w:val="none"/>
        </w:rPr>
        <w:t>表</w:t>
      </w:r>
      <w:bookmarkEnd w:id="47"/>
    </w:p>
    <w:p w14:paraId="4DE355EB">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磋商供应商应按照磋商文件规定格式填报磋商响应报价表（含分项报价）。每项产品或服务只允许有一个报价，任何有选择的报价将不予接受，磋商文件中另有规定的按规定执行。</w:t>
      </w:r>
    </w:p>
    <w:p w14:paraId="2401F994">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标的物</w:t>
      </w:r>
    </w:p>
    <w:p w14:paraId="166168ED">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详见项目需求。</w:t>
      </w:r>
    </w:p>
    <w:p w14:paraId="0CBBF1E2">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有关费用处理</w:t>
      </w:r>
    </w:p>
    <w:p w14:paraId="5EDE1394">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本次采购磋商供应商的总报价应包括为完成本项目发生的所有费用，本磋商文件中另有规定的除外。</w:t>
      </w:r>
    </w:p>
    <w:p w14:paraId="33DE57A7">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其他费用处理</w:t>
      </w:r>
    </w:p>
    <w:p w14:paraId="38A2A6DD">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磋商文件未列明，而磋商供应商认为必须的费用也须列入报价。</w:t>
      </w:r>
    </w:p>
    <w:p w14:paraId="50624299">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报价采用的货币</w:t>
      </w:r>
    </w:p>
    <w:p w14:paraId="52D97364">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响应文件中的单价和总价，无特殊规定的采用人民币报价，以元为单位标注。磋商文件中另有规定的按规定执行。</w:t>
      </w:r>
    </w:p>
    <w:p w14:paraId="1A6B6FA8">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4.6 </w:t>
      </w:r>
      <w:r>
        <w:rPr>
          <w:rFonts w:hint="eastAsia" w:ascii="宋体" w:hAnsi="宋体" w:cs="宋体"/>
          <w:color w:val="auto"/>
          <w:szCs w:val="21"/>
          <w:highlight w:val="none"/>
        </w:rPr>
        <w:t>磋商响应报价表上的价格应按磋商文件规定填写。</w:t>
      </w:r>
    </w:p>
    <w:p w14:paraId="539D2565">
      <w:pPr>
        <w:tabs>
          <w:tab w:val="left" w:pos="900"/>
        </w:tabs>
        <w:spacing w:line="360" w:lineRule="auto"/>
        <w:ind w:firstLine="420" w:firstLineChars="200"/>
        <w:rPr>
          <w:rFonts w:ascii="宋体" w:cs="宋体"/>
          <w:color w:val="auto"/>
          <w:szCs w:val="21"/>
          <w:highlight w:val="none"/>
        </w:rPr>
      </w:pPr>
      <w:bookmarkStart w:id="50" w:name="_Hlt26670403"/>
      <w:bookmarkEnd w:id="50"/>
      <w:bookmarkStart w:id="51" w:name="_Hlt26668983"/>
      <w:bookmarkEnd w:id="51"/>
      <w:bookmarkStart w:id="52" w:name="_Hlt26670482"/>
      <w:bookmarkEnd w:id="52"/>
      <w:bookmarkStart w:id="53" w:name="_Hlt26954844"/>
      <w:bookmarkEnd w:id="53"/>
      <w:bookmarkStart w:id="54" w:name="_Hlt26954731"/>
      <w:bookmarkEnd w:id="54"/>
      <w:bookmarkStart w:id="55" w:name="_Hlt26954846"/>
      <w:bookmarkEnd w:id="55"/>
      <w:bookmarkStart w:id="56" w:name="_Hlt26954842"/>
      <w:bookmarkEnd w:id="56"/>
      <w:bookmarkStart w:id="57" w:name="_Hlt26670486"/>
      <w:bookmarkEnd w:id="57"/>
      <w:bookmarkStart w:id="58" w:name="_Hlt26670425"/>
      <w:bookmarkEnd w:id="58"/>
      <w:bookmarkStart w:id="59" w:name="_Hlt26954848"/>
      <w:bookmarkEnd w:id="59"/>
      <w:bookmarkStart w:id="60" w:name="_Toc61149559"/>
      <w:bookmarkStart w:id="61" w:name="_Toc14577359"/>
      <w:bookmarkStart w:id="62" w:name="_Toc513029221"/>
      <w:r>
        <w:rPr>
          <w:rFonts w:ascii="宋体" w:hAnsi="宋体" w:cs="宋体"/>
          <w:color w:val="auto"/>
          <w:szCs w:val="21"/>
          <w:highlight w:val="none"/>
        </w:rPr>
        <w:t>5</w:t>
      </w:r>
      <w:r>
        <w:rPr>
          <w:rFonts w:hint="eastAsia" w:ascii="宋体" w:hAnsi="宋体" w:cs="宋体"/>
          <w:color w:val="auto"/>
          <w:szCs w:val="21"/>
          <w:highlight w:val="none"/>
        </w:rPr>
        <w:t>、项目需求响应方案</w:t>
      </w:r>
    </w:p>
    <w:p w14:paraId="3ED23D79">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提供为完成本项目的总体实施方案。</w:t>
      </w:r>
    </w:p>
    <w:p w14:paraId="2C22A254">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对磋商文件中项目需求的技术与商务条款要求逐项作出应答，并提供依据或说明。</w:t>
      </w:r>
    </w:p>
    <w:p w14:paraId="5ADE22B2">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磋商供应商认为需要的其他技术文件或说明。</w:t>
      </w:r>
    </w:p>
    <w:bookmarkEnd w:id="60"/>
    <w:bookmarkEnd w:id="61"/>
    <w:bookmarkEnd w:id="62"/>
    <w:p w14:paraId="50047E21">
      <w:pPr>
        <w:tabs>
          <w:tab w:val="left" w:pos="900"/>
        </w:tabs>
        <w:spacing w:line="360" w:lineRule="auto"/>
        <w:ind w:firstLine="422" w:firstLineChars="200"/>
        <w:rPr>
          <w:rFonts w:ascii="宋体" w:cs="宋体"/>
          <w:b/>
          <w:color w:val="auto"/>
          <w:szCs w:val="21"/>
          <w:highlight w:val="none"/>
        </w:rPr>
      </w:pPr>
      <w:bookmarkStart w:id="63" w:name="_Hlt26954749"/>
      <w:bookmarkEnd w:id="63"/>
      <w:bookmarkStart w:id="64" w:name="_Hlt26670493"/>
      <w:bookmarkEnd w:id="64"/>
      <w:bookmarkStart w:id="65" w:name="_Hlt26954854"/>
      <w:bookmarkEnd w:id="65"/>
      <w:bookmarkStart w:id="66" w:name="_Hlt26954739"/>
      <w:bookmarkEnd w:id="66"/>
      <w:bookmarkStart w:id="67" w:name="_Hlt26954734"/>
      <w:bookmarkEnd w:id="67"/>
      <w:bookmarkStart w:id="68" w:name="_Hlt26954850"/>
      <w:bookmarkEnd w:id="68"/>
      <w:bookmarkStart w:id="69" w:name="_Hlt26954852"/>
      <w:bookmarkEnd w:id="69"/>
      <w:bookmarkStart w:id="70" w:name="_Hlt26670489"/>
      <w:bookmarkEnd w:id="70"/>
      <w:bookmarkStart w:id="71" w:name="_Toc14577362"/>
      <w:bookmarkStart w:id="72" w:name="_Toc513029224"/>
      <w:bookmarkStart w:id="73" w:name="_Toc61149562"/>
      <w:r>
        <w:rPr>
          <w:rFonts w:hint="eastAsia" w:ascii="宋体" w:hAnsi="宋体" w:cs="宋体"/>
          <w:b/>
          <w:color w:val="auto"/>
          <w:szCs w:val="21"/>
          <w:highlight w:val="none"/>
        </w:rPr>
        <w:t>三、响应文件的递交</w:t>
      </w:r>
      <w:bookmarkEnd w:id="71"/>
      <w:bookmarkEnd w:id="72"/>
      <w:bookmarkEnd w:id="73"/>
    </w:p>
    <w:p w14:paraId="119D30B0">
      <w:pPr>
        <w:tabs>
          <w:tab w:val="left" w:pos="900"/>
        </w:tabs>
        <w:spacing w:line="360" w:lineRule="auto"/>
        <w:ind w:firstLine="420" w:firstLineChars="200"/>
        <w:rPr>
          <w:rFonts w:ascii="宋体" w:cs="宋体"/>
          <w:color w:val="auto"/>
          <w:szCs w:val="21"/>
          <w:highlight w:val="none"/>
        </w:rPr>
      </w:pPr>
      <w:bookmarkStart w:id="74" w:name="_Hlt26954856"/>
      <w:bookmarkEnd w:id="74"/>
      <w:bookmarkStart w:id="75" w:name="_Toc462564084"/>
      <w:bookmarkStart w:id="76" w:name="_Toc61149563"/>
      <w:bookmarkStart w:id="77" w:name="_Toc513029225"/>
      <w:bookmarkStart w:id="78" w:name="_Toc14577363"/>
      <w:r>
        <w:rPr>
          <w:rFonts w:ascii="宋体" w:hAnsi="宋体" w:cs="宋体"/>
          <w:color w:val="auto"/>
          <w:szCs w:val="21"/>
          <w:highlight w:val="none"/>
        </w:rPr>
        <w:t>1</w:t>
      </w:r>
      <w:r>
        <w:rPr>
          <w:rFonts w:hint="eastAsia" w:ascii="宋体" w:hAnsi="宋体" w:cs="宋体"/>
          <w:color w:val="auto"/>
          <w:szCs w:val="21"/>
          <w:highlight w:val="none"/>
        </w:rPr>
        <w:t>、响应文件</w:t>
      </w:r>
      <w:bookmarkStart w:id="79" w:name="_Hlt26954743"/>
      <w:bookmarkEnd w:id="79"/>
      <w:r>
        <w:rPr>
          <w:rFonts w:hint="eastAsia" w:ascii="宋体" w:hAnsi="宋体" w:cs="宋体"/>
          <w:color w:val="auto"/>
          <w:szCs w:val="21"/>
          <w:highlight w:val="none"/>
        </w:rPr>
        <w:t>的密封和标记</w:t>
      </w:r>
      <w:bookmarkEnd w:id="75"/>
      <w:bookmarkEnd w:id="76"/>
      <w:bookmarkEnd w:id="77"/>
      <w:bookmarkEnd w:id="78"/>
    </w:p>
    <w:p w14:paraId="43F62BBE">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磋商供应商应严格按照采购邀请要求的份数及包号分别准备响应文件，每份响应文件须清楚地标明“正本”或“副本”字样。一旦正本和副本不符，以正本为准。磋商供应商应将响应文件正本和所有副本密封。</w:t>
      </w:r>
    </w:p>
    <w:p w14:paraId="16776ED0">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密封的响应文件应：</w:t>
      </w:r>
    </w:p>
    <w:p w14:paraId="1C9D2BF3">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）按采购邀请中注明的地址送达规定地点；</w:t>
      </w:r>
    </w:p>
    <w:p w14:paraId="384A495C">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）注明参加磋商项目名称、磋商文件编号及参加的分包号；</w:t>
      </w:r>
    </w:p>
    <w:p w14:paraId="21AB3ADB">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）密封包装上应写明磋商供应商名称和地址。</w:t>
      </w:r>
    </w:p>
    <w:p w14:paraId="52E821C3">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如果密封包装未按要求密封和加写标记，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对误投或过早启封概不负责。对由此造成提前开封的响应文件，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将予以拒绝，作无效响应处理。</w:t>
      </w:r>
    </w:p>
    <w:p w14:paraId="702E06E8">
      <w:pPr>
        <w:tabs>
          <w:tab w:val="left" w:pos="900"/>
        </w:tabs>
        <w:spacing w:line="360" w:lineRule="auto"/>
        <w:ind w:firstLine="420" w:firstLineChars="200"/>
        <w:rPr>
          <w:rFonts w:ascii="宋体" w:cs="宋体"/>
          <w:color w:val="auto"/>
          <w:szCs w:val="21"/>
          <w:highlight w:val="none"/>
        </w:rPr>
      </w:pPr>
      <w:bookmarkStart w:id="80" w:name="_Hlt26954752"/>
      <w:bookmarkEnd w:id="80"/>
      <w:bookmarkStart w:id="81" w:name="_Hlt26670496"/>
      <w:bookmarkEnd w:id="81"/>
      <w:bookmarkStart w:id="82" w:name="_Hlt26954858"/>
      <w:bookmarkEnd w:id="82"/>
      <w:bookmarkStart w:id="83" w:name="_Toc513029226"/>
      <w:bookmarkStart w:id="84" w:name="_Toc14577364"/>
      <w:bookmarkStart w:id="85" w:name="_Toc61149564"/>
      <w:r>
        <w:rPr>
          <w:rFonts w:ascii="宋体" w:hAnsi="宋体" w:cs="宋体"/>
          <w:color w:val="auto"/>
          <w:szCs w:val="21"/>
          <w:highlight w:val="none"/>
        </w:rPr>
        <w:t>2</w:t>
      </w:r>
      <w:r>
        <w:rPr>
          <w:rFonts w:hint="eastAsia" w:ascii="宋体" w:hAnsi="宋体" w:cs="宋体"/>
          <w:color w:val="auto"/>
          <w:szCs w:val="21"/>
          <w:highlight w:val="none"/>
        </w:rPr>
        <w:t>、</w:t>
      </w:r>
      <w:bookmarkEnd w:id="83"/>
      <w:bookmarkEnd w:id="84"/>
      <w:bookmarkEnd w:id="85"/>
      <w:r>
        <w:rPr>
          <w:rFonts w:hint="eastAsia" w:ascii="宋体" w:hAnsi="宋体" w:cs="宋体"/>
          <w:color w:val="auto"/>
          <w:szCs w:val="21"/>
          <w:highlight w:val="none"/>
        </w:rPr>
        <w:t>响应文件开启时间</w:t>
      </w:r>
    </w:p>
    <w:p w14:paraId="571D0222">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收到响应文件的时间不得迟于本磋商文件规定的响应文件接收截止时间。</w:t>
      </w:r>
    </w:p>
    <w:p w14:paraId="44B57E85">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有权通过修改磋商文件推迟响应文件接收截止时间，在此情况下，磋商供应商的所有权利和义务以及受制的响应文件接收截止时间均应以延长后新的响应文件接收截止时间为准。</w:t>
      </w:r>
    </w:p>
    <w:p w14:paraId="2DD887DF">
      <w:pPr>
        <w:tabs>
          <w:tab w:val="left" w:pos="900"/>
        </w:tabs>
        <w:spacing w:line="360" w:lineRule="auto"/>
        <w:ind w:firstLine="420" w:firstLineChars="200"/>
        <w:rPr>
          <w:rFonts w:ascii="宋体" w:cs="宋体"/>
          <w:color w:val="auto"/>
          <w:szCs w:val="21"/>
          <w:highlight w:val="none"/>
        </w:rPr>
      </w:pPr>
      <w:bookmarkStart w:id="86" w:name="_Hlt26954860"/>
      <w:bookmarkEnd w:id="86"/>
      <w:bookmarkStart w:id="87" w:name="_Toc513029227"/>
      <w:bookmarkStart w:id="88" w:name="_Toc14577365"/>
      <w:bookmarkStart w:id="89" w:name="_Toc61149565"/>
      <w:r>
        <w:rPr>
          <w:rFonts w:ascii="宋体" w:hAnsi="宋体" w:cs="宋体"/>
          <w:color w:val="auto"/>
          <w:szCs w:val="21"/>
          <w:highlight w:val="none"/>
        </w:rPr>
        <w:t>3</w:t>
      </w:r>
      <w:r>
        <w:rPr>
          <w:rFonts w:hint="eastAsia" w:ascii="宋体" w:hAnsi="宋体" w:cs="宋体"/>
          <w:color w:val="auto"/>
          <w:szCs w:val="21"/>
          <w:highlight w:val="none"/>
        </w:rPr>
        <w:t>、迟交的响应文件</w:t>
      </w:r>
      <w:bookmarkEnd w:id="87"/>
      <w:bookmarkEnd w:id="88"/>
      <w:bookmarkEnd w:id="89"/>
    </w:p>
    <w:p w14:paraId="6294FF3F">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将拒绝在规定的响应文件接收截止时间后接收任何响应文件。</w:t>
      </w:r>
    </w:p>
    <w:p w14:paraId="1F5DA169">
      <w:pPr>
        <w:tabs>
          <w:tab w:val="left" w:pos="900"/>
        </w:tabs>
        <w:spacing w:line="360" w:lineRule="auto"/>
        <w:ind w:firstLine="420" w:firstLineChars="200"/>
        <w:rPr>
          <w:rFonts w:ascii="宋体" w:cs="宋体"/>
          <w:color w:val="auto"/>
          <w:szCs w:val="21"/>
          <w:highlight w:val="none"/>
        </w:rPr>
      </w:pPr>
      <w:bookmarkStart w:id="90" w:name="_Hlt26954862"/>
      <w:bookmarkEnd w:id="90"/>
      <w:bookmarkStart w:id="91" w:name="_Hlt26954754"/>
      <w:bookmarkEnd w:id="91"/>
      <w:bookmarkStart w:id="92" w:name="_Toc513029228"/>
      <w:bookmarkStart w:id="93" w:name="_Toc61149566"/>
      <w:bookmarkStart w:id="94" w:name="_Toc14577366"/>
      <w:r>
        <w:rPr>
          <w:rFonts w:ascii="宋体" w:hAnsi="宋体" w:cs="宋体"/>
          <w:color w:val="auto"/>
          <w:szCs w:val="21"/>
          <w:highlight w:val="none"/>
        </w:rPr>
        <w:t>4</w:t>
      </w:r>
      <w:r>
        <w:rPr>
          <w:rFonts w:hint="eastAsia" w:ascii="宋体" w:hAnsi="宋体" w:cs="宋体"/>
          <w:color w:val="auto"/>
          <w:szCs w:val="21"/>
          <w:highlight w:val="none"/>
        </w:rPr>
        <w:t>、响应文件</w:t>
      </w:r>
      <w:bookmarkStart w:id="95" w:name="_Hlt26670588"/>
      <w:r>
        <w:rPr>
          <w:rFonts w:hint="eastAsia" w:ascii="宋体" w:hAnsi="宋体" w:cs="宋体"/>
          <w:color w:val="auto"/>
          <w:szCs w:val="21"/>
          <w:highlight w:val="none"/>
        </w:rPr>
        <w:t>的修改</w:t>
      </w:r>
      <w:bookmarkEnd w:id="95"/>
      <w:r>
        <w:rPr>
          <w:rFonts w:hint="eastAsia" w:ascii="宋体" w:hAnsi="宋体" w:cs="宋体"/>
          <w:color w:val="auto"/>
          <w:szCs w:val="21"/>
          <w:highlight w:val="none"/>
        </w:rPr>
        <w:t>和撤回</w:t>
      </w:r>
      <w:bookmarkEnd w:id="92"/>
      <w:bookmarkEnd w:id="93"/>
      <w:bookmarkEnd w:id="94"/>
    </w:p>
    <w:p w14:paraId="201243F0">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磋商供应商在递交响应文件后，可以修改或撤回其</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响应文件，但这种修改和撤回，必须在规定的响应文件接收截止时间前，以书面形式送达指定地点。</w:t>
      </w:r>
    </w:p>
    <w:p w14:paraId="27BE5F97">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磋商供应商的修改或撤回通知书，应按本文件规定进行编制、密封、标记和发送，并应在封套上加注“修改”和“撤回”字样。</w:t>
      </w:r>
    </w:p>
    <w:p w14:paraId="0662B845">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、磋商响应有效期</w:t>
      </w:r>
    </w:p>
    <w:p w14:paraId="2859A710">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5.1 </w:t>
      </w:r>
      <w:r>
        <w:rPr>
          <w:rFonts w:hint="eastAsia" w:ascii="宋体" w:hAnsi="宋体" w:cs="宋体"/>
          <w:color w:val="auto"/>
          <w:szCs w:val="21"/>
          <w:highlight w:val="none"/>
        </w:rPr>
        <w:t>磋商响应有效期为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规定的响应文件接收截止时间后六十（</w:t>
      </w:r>
      <w:r>
        <w:rPr>
          <w:rFonts w:ascii="宋体" w:hAnsi="宋体" w:cs="宋体"/>
          <w:color w:val="auto"/>
          <w:szCs w:val="21"/>
          <w:highlight w:val="none"/>
        </w:rPr>
        <w:t>60</w:t>
      </w:r>
      <w:r>
        <w:rPr>
          <w:rFonts w:hint="eastAsia" w:ascii="宋体" w:hAnsi="宋体" w:cs="宋体"/>
          <w:color w:val="auto"/>
          <w:szCs w:val="21"/>
          <w:highlight w:val="none"/>
        </w:rPr>
        <w:t>）天。磋商响应有效期比规定短的将被视为非实质性响应性而予以拒绝。</w:t>
      </w:r>
    </w:p>
    <w:p w14:paraId="5E9C6B79">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5.2 </w:t>
      </w:r>
      <w:r>
        <w:rPr>
          <w:rFonts w:hint="eastAsia" w:ascii="宋体" w:hAnsi="宋体" w:cs="宋体"/>
          <w:color w:val="auto"/>
          <w:szCs w:val="21"/>
          <w:highlight w:val="none"/>
        </w:rPr>
        <w:t>在特殊情况下，</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于原磋商响应有效期满之前，可向磋商供应商提出延长磋商响应有效期的要求。这种要求与答复均应采用书面形式。</w:t>
      </w:r>
    </w:p>
    <w:p w14:paraId="60037A4F">
      <w:pPr>
        <w:tabs>
          <w:tab w:val="left" w:pos="900"/>
        </w:tabs>
        <w:spacing w:line="360" w:lineRule="auto"/>
        <w:ind w:firstLine="422" w:firstLineChars="200"/>
        <w:rPr>
          <w:rFonts w:ascii="宋体" w:cs="宋体"/>
          <w:b/>
          <w:color w:val="auto"/>
          <w:szCs w:val="21"/>
          <w:highlight w:val="none"/>
        </w:rPr>
      </w:pPr>
      <w:bookmarkStart w:id="96" w:name="_Hlt26954864"/>
      <w:bookmarkEnd w:id="96"/>
      <w:bookmarkStart w:id="97" w:name="_Hlt26670523"/>
      <w:bookmarkEnd w:id="97"/>
      <w:r>
        <w:rPr>
          <w:rFonts w:hint="eastAsia" w:ascii="宋体" w:hAnsi="宋体" w:cs="宋体"/>
          <w:b/>
          <w:color w:val="auto"/>
          <w:szCs w:val="21"/>
          <w:highlight w:val="none"/>
        </w:rPr>
        <w:t>四、磋商与评审</w:t>
      </w:r>
    </w:p>
    <w:p w14:paraId="42FC73E8">
      <w:pPr>
        <w:tabs>
          <w:tab w:val="left" w:pos="900"/>
        </w:tabs>
        <w:spacing w:line="360" w:lineRule="auto"/>
        <w:ind w:firstLine="420" w:firstLineChars="200"/>
        <w:rPr>
          <w:rFonts w:ascii="宋体" w:cs="宋体"/>
          <w:color w:val="auto"/>
          <w:szCs w:val="21"/>
          <w:highlight w:val="none"/>
        </w:rPr>
      </w:pPr>
      <w:bookmarkStart w:id="98" w:name="_Toc20823302"/>
      <w:bookmarkStart w:id="99" w:name="_Toc513029230"/>
      <w:bookmarkStart w:id="100" w:name="_Toc16938546"/>
      <w:r>
        <w:rPr>
          <w:rFonts w:ascii="宋体" w:hAnsi="宋体" w:cs="宋体"/>
          <w:color w:val="auto"/>
          <w:szCs w:val="21"/>
          <w:highlight w:val="none"/>
        </w:rPr>
        <w:t>1</w:t>
      </w:r>
      <w:r>
        <w:rPr>
          <w:rFonts w:hint="eastAsia" w:ascii="宋体" w:hAnsi="宋体" w:cs="宋体"/>
          <w:color w:val="auto"/>
          <w:szCs w:val="21"/>
          <w:highlight w:val="none"/>
        </w:rPr>
        <w:t>、</w:t>
      </w:r>
      <w:bookmarkEnd w:id="98"/>
      <w:bookmarkEnd w:id="99"/>
      <w:bookmarkEnd w:id="100"/>
      <w:r>
        <w:rPr>
          <w:rFonts w:hint="eastAsia" w:ascii="宋体" w:hAnsi="宋体" w:cs="宋体"/>
          <w:color w:val="auto"/>
          <w:szCs w:val="21"/>
          <w:highlight w:val="none"/>
        </w:rPr>
        <w:t>磋商仪式</w:t>
      </w:r>
    </w:p>
    <w:p w14:paraId="4D77D94E">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将在采购邀请中规定的时间和地点组织磋商开始仪式，仪式由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主持，磋商供应商应委派携带有效证件的代表准时参加，参加仪式的代表需签名以证明其出席。</w:t>
      </w:r>
    </w:p>
    <w:p w14:paraId="4B1F426A">
      <w:pPr>
        <w:tabs>
          <w:tab w:val="left" w:pos="900"/>
        </w:tabs>
        <w:spacing w:line="360" w:lineRule="auto"/>
        <w:ind w:firstLine="420" w:firstLineChars="200"/>
        <w:rPr>
          <w:rFonts w:ascii="宋体" w:cs="宋体"/>
          <w:color w:val="auto"/>
          <w:szCs w:val="21"/>
          <w:highlight w:val="none"/>
        </w:rPr>
      </w:pPr>
      <w:bookmarkStart w:id="101" w:name="_Toc513029231"/>
      <w:bookmarkStart w:id="102" w:name="_Toc20823303"/>
      <w:bookmarkStart w:id="103" w:name="_Toc16938547"/>
      <w:r>
        <w:rPr>
          <w:rFonts w:ascii="宋体" w:hAnsi="宋体" w:cs="宋体"/>
          <w:color w:val="auto"/>
          <w:szCs w:val="21"/>
          <w:highlight w:val="none"/>
        </w:rPr>
        <w:t>2</w:t>
      </w:r>
      <w:r>
        <w:rPr>
          <w:rFonts w:hint="eastAsia" w:ascii="宋体" w:hAnsi="宋体" w:cs="宋体"/>
          <w:color w:val="auto"/>
          <w:szCs w:val="21"/>
          <w:highlight w:val="none"/>
        </w:rPr>
        <w:t>、磋商小组</w:t>
      </w:r>
    </w:p>
    <w:p w14:paraId="4AA836A1">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2.1 </w:t>
      </w:r>
      <w:r>
        <w:rPr>
          <w:rFonts w:hint="eastAsia" w:ascii="宋体" w:hAnsi="宋体" w:cs="宋体"/>
          <w:color w:val="auto"/>
          <w:szCs w:val="21"/>
          <w:highlight w:val="none"/>
        </w:rPr>
        <w:t>磋商开始仪式结束后，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将立即组织磋商小组进行评审。</w:t>
      </w:r>
    </w:p>
    <w:p w14:paraId="7FD6C841">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磋商小组由政府采购评审专家、采购人代表组成，且人员构成符合政府采购有关规定。</w:t>
      </w:r>
    </w:p>
    <w:p w14:paraId="2B102EBE">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、磋商评审过程的保密</w:t>
      </w:r>
      <w:bookmarkEnd w:id="101"/>
      <w:bookmarkEnd w:id="102"/>
      <w:bookmarkEnd w:id="103"/>
      <w:r>
        <w:rPr>
          <w:rFonts w:hint="eastAsia" w:ascii="宋体" w:hAnsi="宋体" w:cs="宋体"/>
          <w:color w:val="auto"/>
          <w:szCs w:val="21"/>
          <w:highlight w:val="none"/>
        </w:rPr>
        <w:t>与公正</w:t>
      </w:r>
    </w:p>
    <w:p w14:paraId="2E8F3550">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磋商小组、采购人、相关监督人员等与评审工作有关的人员，对评审情况以及在评审过程中获悉的国家秘密、商业秘密负有保密责任。</w:t>
      </w:r>
    </w:p>
    <w:p w14:paraId="693B5EA5">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在磋商评审过程中，磋商供应商不得以任何行为影响磋商评审过程，否则其响应文件将被作为无效响应文件。</w:t>
      </w:r>
    </w:p>
    <w:p w14:paraId="6F2AC731">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4D47043">
      <w:pPr>
        <w:tabs>
          <w:tab w:val="left" w:pos="900"/>
        </w:tabs>
        <w:spacing w:line="360" w:lineRule="auto"/>
        <w:ind w:firstLine="420" w:firstLineChars="200"/>
        <w:rPr>
          <w:rFonts w:ascii="宋体" w:cs="宋体"/>
          <w:color w:val="auto"/>
          <w:szCs w:val="21"/>
          <w:highlight w:val="none"/>
        </w:rPr>
      </w:pPr>
      <w:bookmarkStart w:id="104" w:name="_Toc16938548"/>
      <w:bookmarkStart w:id="105" w:name="_Toc20823304"/>
      <w:bookmarkStart w:id="106" w:name="_Toc513029232"/>
      <w:r>
        <w:rPr>
          <w:rFonts w:ascii="宋体" w:hAnsi="宋体" w:cs="宋体"/>
          <w:color w:val="auto"/>
          <w:szCs w:val="21"/>
          <w:highlight w:val="none"/>
        </w:rPr>
        <w:t>4</w:t>
      </w:r>
      <w:r>
        <w:rPr>
          <w:rFonts w:hint="eastAsia" w:ascii="宋体" w:hAnsi="宋体" w:cs="宋体"/>
          <w:color w:val="auto"/>
          <w:szCs w:val="21"/>
          <w:highlight w:val="none"/>
        </w:rPr>
        <w:t>、评审过程的澄清</w:t>
      </w:r>
      <w:bookmarkEnd w:id="104"/>
      <w:bookmarkEnd w:id="105"/>
      <w:bookmarkEnd w:id="106"/>
      <w:r>
        <w:rPr>
          <w:rFonts w:hint="eastAsia" w:ascii="宋体" w:hAnsi="宋体" w:cs="宋体"/>
          <w:color w:val="auto"/>
          <w:szCs w:val="21"/>
          <w:highlight w:val="none"/>
        </w:rPr>
        <w:t>、说明和更正</w:t>
      </w:r>
    </w:p>
    <w:p w14:paraId="7D2D6655">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B7BDF2">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0EA86845">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接到磋商小组澄清要求的供应商如未按规定做出澄清，其风险由供应商自行承担。</w:t>
      </w:r>
    </w:p>
    <w:p w14:paraId="4D46E968">
      <w:pPr>
        <w:tabs>
          <w:tab w:val="left" w:pos="900"/>
        </w:tabs>
        <w:spacing w:line="360" w:lineRule="auto"/>
        <w:ind w:firstLine="420" w:firstLineChars="200"/>
        <w:rPr>
          <w:rFonts w:ascii="宋体" w:cs="宋体"/>
          <w:color w:val="auto"/>
          <w:szCs w:val="21"/>
          <w:highlight w:val="none"/>
        </w:rPr>
      </w:pPr>
      <w:bookmarkStart w:id="107" w:name="_Toc16938549"/>
      <w:bookmarkStart w:id="108" w:name="_Toc513029233"/>
      <w:bookmarkStart w:id="109" w:name="_Toc20823305"/>
      <w:r>
        <w:rPr>
          <w:rFonts w:ascii="宋体" w:hAnsi="宋体" w:cs="宋体"/>
          <w:color w:val="auto"/>
          <w:szCs w:val="21"/>
          <w:highlight w:val="none"/>
        </w:rPr>
        <w:t>5</w:t>
      </w:r>
      <w:r>
        <w:rPr>
          <w:rFonts w:hint="eastAsia" w:ascii="宋体" w:hAnsi="宋体" w:cs="宋体"/>
          <w:color w:val="auto"/>
          <w:szCs w:val="21"/>
          <w:highlight w:val="none"/>
        </w:rPr>
        <w:t>、对响应文件的初审</w:t>
      </w:r>
      <w:bookmarkEnd w:id="107"/>
      <w:bookmarkEnd w:id="108"/>
      <w:bookmarkEnd w:id="109"/>
    </w:p>
    <w:p w14:paraId="28A970C6">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响应文件初审分为资格性检查和符合性检查。</w:t>
      </w:r>
    </w:p>
    <w:p w14:paraId="2BD0418E">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资格性检查：依据法律法规和磋商文件的规定，对响应文件中的资格证明文件进行审查，以确定供应商是否具备参加磋商的资格。</w:t>
      </w:r>
    </w:p>
    <w:p w14:paraId="3CE203B6">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符合性检查：依据磋商文件的规定，从响应文件的有效性、完整性和对磋商文件的响应程度进行审查，以确定是否对磋商文件的实质性要求作出响应。</w:t>
      </w:r>
    </w:p>
    <w:p w14:paraId="607F98A0">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在正式磋商之前，磋商小组将首先审查每份响应文件是否实质性响应了磋商文件的要求。实质性响应的响应文件应该是与磋商文件要求的条款、条件和规格相符，没有重大偏离或保留。</w:t>
      </w:r>
    </w:p>
    <w:p w14:paraId="303FEEB2">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所谓重大偏离或保留是指与磋商文件规定的实质性要求存在负偏离，或者在实质上与磋商文件不一致，而且限制了合同中买方的权利或供应商的义务，纠正这些偏离或保留将会对其他实质性响应要求的供应商的竞争地位产生不公正的影响。是否属于重大偏离由</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小组按照少数服从多数的原则作出结论。磋商小组决定响应文件的响应性只根据响应文件本身的内容，而不寻求外部的证据。</w:t>
      </w:r>
    </w:p>
    <w:p w14:paraId="555A452A">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5.3 </w:t>
      </w:r>
      <w:r>
        <w:rPr>
          <w:rFonts w:hint="eastAsia" w:ascii="宋体" w:hAnsi="宋体" w:cs="宋体"/>
          <w:color w:val="auto"/>
          <w:szCs w:val="21"/>
          <w:highlight w:val="none"/>
        </w:rPr>
        <w:t>被认定为未实质性响应磋商文件的响应文件的情形</w:t>
      </w:r>
    </w:p>
    <w:p w14:paraId="03E742DD">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）未按要求交纳磋商保证金的；（文件不作要求的除外）</w:t>
      </w:r>
    </w:p>
    <w:p w14:paraId="37F447A2">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）未按照磋商文件规定要求密封、签署、盖章的；</w:t>
      </w:r>
    </w:p>
    <w:p w14:paraId="5FA03A38">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）供应商在报价时采用选择性报价；</w:t>
      </w:r>
    </w:p>
    <w:p w14:paraId="6F83B721">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）供应商不具备磋商文件中规定资格要求的；</w:t>
      </w:r>
    </w:p>
    <w:p w14:paraId="373C3F9A">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）不符合法律、法规和磋商文件中规定的其他实质性要求和条件的（本磋商文件中斜体且有下划线部分为实质性要求和条件）；</w:t>
      </w:r>
    </w:p>
    <w:p w14:paraId="597BE691">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）其他法律、法规及本磋商文件规定的属未实质性响应的响应文件的情形。</w:t>
      </w:r>
    </w:p>
    <w:p w14:paraId="3462F491">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5.4 </w:t>
      </w:r>
      <w:r>
        <w:rPr>
          <w:rFonts w:hint="eastAsia" w:ascii="宋体" w:hAnsi="宋体" w:cs="宋体"/>
          <w:color w:val="auto"/>
          <w:szCs w:val="21"/>
          <w:highlight w:val="none"/>
        </w:rPr>
        <w:t>未实质性响应磋商文件的响应文件按无效响应处理，磋商小组将予以拒绝，供应商不得通过修改或撤销不合要求的偏离或保留而使其响应文件成为实质性响应的文件。</w:t>
      </w:r>
    </w:p>
    <w:p w14:paraId="217E29C7">
      <w:pPr>
        <w:tabs>
          <w:tab w:val="left" w:pos="900"/>
        </w:tabs>
        <w:spacing w:line="360" w:lineRule="auto"/>
        <w:ind w:firstLine="420" w:firstLineChars="200"/>
        <w:rPr>
          <w:rFonts w:ascii="宋体" w:cs="宋体"/>
          <w:color w:val="auto"/>
          <w:szCs w:val="21"/>
          <w:highlight w:val="none"/>
        </w:rPr>
      </w:pPr>
      <w:bookmarkStart w:id="110" w:name="_Toc16938550"/>
      <w:bookmarkStart w:id="111" w:name="_Toc20823306"/>
      <w:bookmarkStart w:id="112" w:name="_Toc513029234"/>
      <w:r>
        <w:rPr>
          <w:rFonts w:ascii="宋体" w:hAnsi="宋体" w:cs="宋体"/>
          <w:color w:val="auto"/>
          <w:szCs w:val="21"/>
          <w:highlight w:val="none"/>
        </w:rPr>
        <w:t>6</w:t>
      </w:r>
      <w:r>
        <w:rPr>
          <w:rFonts w:hint="eastAsia" w:ascii="宋体" w:hAnsi="宋体" w:cs="宋体"/>
          <w:color w:val="auto"/>
          <w:szCs w:val="21"/>
          <w:highlight w:val="none"/>
        </w:rPr>
        <w:t>、</w:t>
      </w:r>
      <w:bookmarkEnd w:id="110"/>
      <w:bookmarkEnd w:id="111"/>
      <w:bookmarkEnd w:id="112"/>
      <w:r>
        <w:rPr>
          <w:rFonts w:hint="eastAsia" w:ascii="宋体" w:hAnsi="宋体" w:cs="宋体"/>
          <w:color w:val="auto"/>
          <w:szCs w:val="21"/>
          <w:highlight w:val="none"/>
        </w:rPr>
        <w:t>磋商程序及评审方法和标准</w:t>
      </w:r>
    </w:p>
    <w:p w14:paraId="0B6B4A93">
      <w:pPr>
        <w:tabs>
          <w:tab w:val="left" w:pos="900"/>
        </w:tabs>
        <w:spacing w:line="360" w:lineRule="auto"/>
        <w:ind w:firstLine="420" w:firstLineChars="200"/>
        <w:rPr>
          <w:rFonts w:ascii="宋体" w:cs="宋体"/>
          <w:color w:val="auto"/>
          <w:szCs w:val="21"/>
          <w:highlight w:val="none"/>
        </w:rPr>
      </w:pPr>
      <w:bookmarkStart w:id="113" w:name="_Toc16938551"/>
      <w:bookmarkStart w:id="114" w:name="_Toc513029235"/>
      <w:bookmarkStart w:id="115" w:name="_Toc20823307"/>
      <w:r>
        <w:rPr>
          <w:rFonts w:ascii="宋体" w:hAnsi="宋体" w:cs="宋体"/>
          <w:color w:val="auto"/>
          <w:szCs w:val="21"/>
          <w:highlight w:val="none"/>
        </w:rPr>
        <w:t>6.1</w:t>
      </w:r>
      <w:r>
        <w:rPr>
          <w:rFonts w:hint="eastAsia" w:ascii="宋体" w:hAnsi="宋体" w:cs="宋体"/>
          <w:color w:val="auto"/>
          <w:szCs w:val="21"/>
          <w:highlight w:val="none"/>
        </w:rPr>
        <w:t>磋商程序</w:t>
      </w:r>
    </w:p>
    <w:p w14:paraId="1460D325">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6.1.1 </w:t>
      </w:r>
      <w:r>
        <w:rPr>
          <w:rFonts w:hint="eastAsia" w:ascii="宋体" w:hAnsi="宋体" w:cs="宋体"/>
          <w:color w:val="auto"/>
          <w:szCs w:val="21"/>
          <w:highlight w:val="none"/>
        </w:rPr>
        <w:t>对于通过资格性和符合性审查的供应商，磋商小组所有成员将集中与单一供应商分别进行磋商。</w:t>
      </w:r>
    </w:p>
    <w:p w14:paraId="76854597">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14:paraId="4E53753A">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 6.1.2 </w:t>
      </w:r>
      <w:r>
        <w:rPr>
          <w:rFonts w:hint="eastAsia" w:ascii="宋体" w:hAnsi="宋体" w:cs="宋体"/>
          <w:color w:val="auto"/>
          <w:szCs w:val="21"/>
          <w:highlight w:val="none"/>
        </w:rPr>
        <w:t>磋商文件能够详细列明采购标的的技术、服务要求的，磋商结束后，磋商小组将要求所有实质性响应的供应商在规定时间内提交最后报价。</w:t>
      </w:r>
    </w:p>
    <w:p w14:paraId="7B45DEA4">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cs="宋体"/>
          <w:color w:val="auto"/>
          <w:szCs w:val="21"/>
          <w:highlight w:val="none"/>
        </w:rPr>
        <w:t>[2015]124</w:t>
      </w:r>
      <w:r>
        <w:rPr>
          <w:rFonts w:hint="eastAsia" w:ascii="宋体" w:hAnsi="宋体" w:cs="宋体"/>
          <w:color w:val="auto"/>
          <w:szCs w:val="21"/>
          <w:highlight w:val="none"/>
        </w:rPr>
        <w:t>号）规定情形的，提交最后报价的供应商可以为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6A891A9D">
      <w:pPr>
        <w:tabs>
          <w:tab w:val="left" w:pos="900"/>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6.1.3 </w:t>
      </w:r>
      <w:r>
        <w:rPr>
          <w:rFonts w:hint="eastAsia" w:ascii="宋体" w:hAnsi="宋体" w:cs="宋体"/>
          <w:color w:val="auto"/>
          <w:szCs w:val="21"/>
          <w:highlight w:val="none"/>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14:paraId="3A086517">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评审方法和标准</w:t>
      </w:r>
    </w:p>
    <w:p w14:paraId="1018A71D">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6.2.1</w:t>
      </w:r>
      <w:r>
        <w:rPr>
          <w:rFonts w:hint="eastAsia" w:ascii="宋体" w:hAnsi="宋体" w:cs="宋体"/>
          <w:color w:val="auto"/>
          <w:szCs w:val="21"/>
          <w:highlight w:val="none"/>
        </w:rPr>
        <w:t>评审方法。经磋商确定最终采购需求和提交最后报价的供应商后，由磋商小组采用综合评分法对提交最后报价的供应商的响应文件和最后报价进行综合评分。</w:t>
      </w:r>
    </w:p>
    <w:p w14:paraId="449F064D">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243AB17">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6.2.2</w:t>
      </w:r>
      <w:r>
        <w:rPr>
          <w:rFonts w:hint="eastAsia" w:ascii="宋体" w:hAnsi="宋体" w:cs="宋体"/>
          <w:color w:val="auto"/>
          <w:szCs w:val="21"/>
          <w:highlight w:val="none"/>
        </w:rPr>
        <w:t>评审标准</w:t>
      </w:r>
    </w:p>
    <w:p w14:paraId="3525B373">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见本磋商文件第五章规定。</w:t>
      </w:r>
    </w:p>
    <w:p w14:paraId="4ACBF0CD">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采购活动终止的情况</w:t>
      </w:r>
    </w:p>
    <w:p w14:paraId="144EC91A">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出现下列情形之一的，本次竞争性磋商采购活动将被终止：</w:t>
      </w:r>
    </w:p>
    <w:p w14:paraId="6F5465EF">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）因情况变化，不再符合规定的竞争性磋商采购方式适用情形的；</w:t>
      </w:r>
    </w:p>
    <w:p w14:paraId="2099D1C3">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）出现影响采购公正的违法、违规行为的；</w:t>
      </w:r>
    </w:p>
    <w:p w14:paraId="25AD718F">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）除本磋商文件第</w:t>
      </w:r>
      <w:r>
        <w:rPr>
          <w:rFonts w:ascii="宋体" w:hAnsi="宋体" w:cs="宋体"/>
          <w:color w:val="auto"/>
          <w:szCs w:val="21"/>
          <w:highlight w:val="none"/>
        </w:rPr>
        <w:t>6.1.2</w:t>
      </w:r>
      <w:r>
        <w:rPr>
          <w:rFonts w:hint="eastAsia" w:ascii="宋体" w:hAnsi="宋体" w:cs="宋体"/>
          <w:color w:val="auto"/>
          <w:szCs w:val="21"/>
          <w:highlight w:val="none"/>
        </w:rPr>
        <w:t>条第三款规定的情形外，在采购过程中符合要求的供应商或者报价未超过采购预算的供应商不足</w:t>
      </w:r>
      <w:r>
        <w:rPr>
          <w:rFonts w:ascii="宋体" w:hAnsi="宋体" w:cs="宋体"/>
          <w:color w:val="auto"/>
          <w:szCs w:val="21"/>
          <w:highlight w:val="none"/>
        </w:rPr>
        <w:t>3</w:t>
      </w:r>
      <w:r>
        <w:rPr>
          <w:rFonts w:hint="eastAsia" w:ascii="宋体" w:hAnsi="宋体" w:cs="宋体"/>
          <w:color w:val="auto"/>
          <w:szCs w:val="21"/>
          <w:highlight w:val="none"/>
        </w:rPr>
        <w:t>家的。</w:t>
      </w:r>
    </w:p>
    <w:bookmarkEnd w:id="113"/>
    <w:bookmarkEnd w:id="114"/>
    <w:bookmarkEnd w:id="115"/>
    <w:p w14:paraId="7BA0CBC0">
      <w:pPr>
        <w:tabs>
          <w:tab w:val="left" w:pos="900"/>
        </w:tabs>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五、成交</w:t>
      </w:r>
    </w:p>
    <w:p w14:paraId="64397530">
      <w:pPr>
        <w:tabs>
          <w:tab w:val="left" w:pos="900"/>
        </w:tabs>
        <w:spacing w:line="360" w:lineRule="auto"/>
        <w:ind w:firstLine="420" w:firstLineChars="200"/>
        <w:rPr>
          <w:rFonts w:ascii="宋体" w:cs="宋体"/>
          <w:color w:val="auto"/>
          <w:szCs w:val="21"/>
          <w:highlight w:val="none"/>
        </w:rPr>
      </w:pPr>
      <w:bookmarkStart w:id="116" w:name="_Toc513029238"/>
      <w:bookmarkStart w:id="117" w:name="_Toc16938554"/>
      <w:bookmarkStart w:id="118" w:name="_Toc20823310"/>
      <w:r>
        <w:rPr>
          <w:rFonts w:ascii="宋体" w:hAnsi="宋体" w:cs="宋体"/>
          <w:color w:val="auto"/>
          <w:szCs w:val="21"/>
          <w:highlight w:val="none"/>
        </w:rPr>
        <w:t>1</w:t>
      </w:r>
      <w:r>
        <w:rPr>
          <w:rFonts w:hint="eastAsia" w:ascii="宋体" w:hAnsi="宋体" w:cs="宋体"/>
          <w:color w:val="auto"/>
          <w:szCs w:val="21"/>
          <w:highlight w:val="none"/>
        </w:rPr>
        <w:t>、</w:t>
      </w:r>
      <w:bookmarkEnd w:id="116"/>
      <w:r>
        <w:rPr>
          <w:rFonts w:hint="eastAsia" w:ascii="宋体" w:hAnsi="宋体" w:cs="宋体"/>
          <w:color w:val="auto"/>
          <w:szCs w:val="21"/>
          <w:highlight w:val="none"/>
        </w:rPr>
        <w:t>确定</w:t>
      </w:r>
      <w:bookmarkEnd w:id="117"/>
      <w:bookmarkEnd w:id="118"/>
      <w:r>
        <w:rPr>
          <w:rFonts w:hint="eastAsia" w:ascii="宋体" w:hAnsi="宋体" w:cs="宋体"/>
          <w:color w:val="auto"/>
          <w:szCs w:val="21"/>
          <w:highlight w:val="none"/>
        </w:rPr>
        <w:t>成交单位</w:t>
      </w:r>
    </w:p>
    <w:p w14:paraId="3EF6E766">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 </w:t>
      </w:r>
      <w:r>
        <w:rPr>
          <w:rFonts w:hint="eastAsia" w:ascii="宋体" w:hAnsi="宋体" w:cs="宋体"/>
          <w:color w:val="auto"/>
          <w:szCs w:val="21"/>
          <w:highlight w:val="none"/>
        </w:rPr>
        <w:t>磋商小组根据综合评分情况，按照评审得分由高到低顺序推荐</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名以上成交候选供应商，并编写评审报告。本项目最终确定</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家成交候选供应商。如出现评审得分相同的，按照最后报价由低到高的顺序推荐。评审得分且最后报价相同的，按照评分标准中评审项目排序的分值由高到低的顺序推荐</w:t>
      </w:r>
      <w:r>
        <w:rPr>
          <w:rFonts w:hint="eastAsia"/>
          <w:color w:val="auto"/>
          <w:szCs w:val="21"/>
          <w:highlight w:val="none"/>
        </w:rPr>
        <w:t>（如评审得分且最后报价相同的，按照评分标准第二项指标的得分由高到低顺序推荐（如得分仍相同的以评分标准第三项指标得分由高到低顺序推荐，依此类推。若最终得分仍相同的，通过摇号确定）。</w:t>
      </w:r>
    </w:p>
    <w:p w14:paraId="38DB87F5">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采购人根据磋商小组推荐的成交候选人确定成交供应商。采购人确定成交供应商后，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将在“</w:t>
      </w:r>
      <w:r>
        <w:rPr>
          <w:rFonts w:hint="eastAsia" w:ascii="宋体" w:hAnsi="宋体"/>
          <w:color w:val="auto"/>
          <w:sz w:val="21"/>
          <w:szCs w:val="21"/>
          <w:highlight w:val="none"/>
          <w:lang w:eastAsia="zh-CN"/>
        </w:rPr>
        <w:t>扬州市疾病预防控制中心官网</w:t>
      </w:r>
      <w:r>
        <w:rPr>
          <w:rFonts w:hint="eastAsia" w:ascii="宋体" w:hAnsi="宋体" w:cs="宋体"/>
          <w:color w:val="auto"/>
          <w:szCs w:val="21"/>
          <w:highlight w:val="none"/>
        </w:rPr>
        <w:t>”发布成交结果公告，公告期限为</w:t>
      </w:r>
      <w:r>
        <w:rPr>
          <w:rFonts w:ascii="宋体" w:hAnsi="宋体" w:cs="宋体"/>
          <w:color w:val="auto"/>
          <w:szCs w:val="21"/>
          <w:highlight w:val="none"/>
        </w:rPr>
        <w:t>1</w:t>
      </w:r>
      <w:r>
        <w:rPr>
          <w:rFonts w:hint="eastAsia" w:ascii="宋体" w:hAnsi="宋体" w:cs="宋体"/>
          <w:color w:val="auto"/>
          <w:szCs w:val="21"/>
          <w:highlight w:val="none"/>
        </w:rPr>
        <w:t>个工作日。</w:t>
      </w:r>
    </w:p>
    <w:p w14:paraId="51707990">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若有充分证据证明，成交供应商出现下列情况之一的，一经查实，将被取消成交资格：</w:t>
      </w:r>
    </w:p>
    <w:p w14:paraId="319974FB">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）提供虚假材料谋取成交的；</w:t>
      </w:r>
    </w:p>
    <w:p w14:paraId="1DD73797">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）与评审专家、采购人、其他供应商恶意串通的；</w:t>
      </w:r>
    </w:p>
    <w:p w14:paraId="02F75C76">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）向评审专家、采购人行贿或者提供其他不正当利益的；</w:t>
      </w:r>
    </w:p>
    <w:p w14:paraId="3B22E47B">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）恶意竞争，最终总报价明显低于其自身合理成本且又无法提供证明的；</w:t>
      </w:r>
    </w:p>
    <w:p w14:paraId="718F0DD7">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）不满足本磋商文件规定的实质性要求，但在评审过程中又未被磋商小组发现的；</w:t>
      </w:r>
    </w:p>
    <w:p w14:paraId="1B5FD106">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）成交后无正当理由拒不与采购人签订政府采购合同或者未按照磋商文件确定的事项签订政府采购合同；</w:t>
      </w:r>
    </w:p>
    <w:p w14:paraId="28D99FBC">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）将政府采购合同转包；</w:t>
      </w:r>
    </w:p>
    <w:p w14:paraId="1C114701">
      <w:pPr>
        <w:tabs>
          <w:tab w:val="left" w:pos="900"/>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）法律、法规、规章规定的属于成交无效的其他情形。</w:t>
      </w:r>
    </w:p>
    <w:p w14:paraId="1C90C284">
      <w:pPr>
        <w:tabs>
          <w:tab w:val="left" w:pos="900"/>
        </w:tabs>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六、合同签订相关事项</w:t>
      </w:r>
    </w:p>
    <w:p w14:paraId="75272237">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、签订合同</w:t>
      </w:r>
    </w:p>
    <w:p w14:paraId="18E321B1">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1.l</w:t>
      </w:r>
      <w:r>
        <w:rPr>
          <w:rFonts w:hint="eastAsia" w:ascii="宋体" w:hAnsi="宋体" w:cs="宋体"/>
          <w:color w:val="auto"/>
          <w:szCs w:val="21"/>
          <w:highlight w:val="none"/>
        </w:rPr>
        <w:t>成交供应商确定后，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将向成交供应商发出成交通知书。成交供应商应按成交通知书规定的时间、地点</w:t>
      </w:r>
      <w:r>
        <w:rPr>
          <w:rFonts w:ascii="宋体" w:cs="宋体"/>
          <w:color w:val="auto"/>
          <w:szCs w:val="21"/>
          <w:highlight w:val="none"/>
        </w:rPr>
        <w:t>,</w:t>
      </w:r>
      <w:r>
        <w:rPr>
          <w:rFonts w:hint="eastAsia" w:ascii="宋体" w:hAnsi="宋体" w:cs="宋体"/>
          <w:color w:val="auto"/>
          <w:szCs w:val="21"/>
          <w:highlight w:val="none"/>
        </w:rPr>
        <w:t>按照磋商文件确定的事项与采购人签订政府采购合同，且不得迟于成交通知书发出之日起</w:t>
      </w:r>
      <w:r>
        <w:rPr>
          <w:rFonts w:hint="eastAsia" w:ascii="宋体" w:hAnsi="宋体" w:cs="宋体"/>
          <w:color w:val="auto"/>
          <w:szCs w:val="21"/>
          <w:highlight w:val="none"/>
          <w:lang w:eastAsia="zh-CN"/>
        </w:rPr>
        <w:t>三十</w:t>
      </w:r>
      <w:r>
        <w:rPr>
          <w:rFonts w:hint="eastAsia" w:ascii="宋体" w:hAnsi="宋体" w:cs="宋体"/>
          <w:color w:val="auto"/>
          <w:szCs w:val="21"/>
          <w:highlight w:val="none"/>
        </w:rPr>
        <w:t>日内，否则由此给采购人造成损失的，成交供应商还应承担赔偿责任。</w:t>
      </w:r>
    </w:p>
    <w:p w14:paraId="11290E76">
      <w:pPr>
        <w:tabs>
          <w:tab w:val="left" w:pos="900"/>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磋商文件、成交供应商的响应文件及磋商采购过程中有关澄清、承诺文件均应作为合同附件。</w:t>
      </w:r>
    </w:p>
    <w:p w14:paraId="75696D69">
      <w:pPr>
        <w:tabs>
          <w:tab w:val="left" w:pos="900"/>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 xml:space="preserve">1.3 </w:t>
      </w:r>
      <w:r>
        <w:rPr>
          <w:rFonts w:hint="eastAsia" w:ascii="宋体" w:hAnsi="宋体" w:cs="宋体"/>
          <w:color w:val="auto"/>
          <w:szCs w:val="21"/>
          <w:highlight w:val="none"/>
        </w:rPr>
        <w:t>签订合同后，</w:t>
      </w:r>
      <w:r>
        <w:rPr>
          <w:rFonts w:hint="eastAsia" w:ascii="宋体" w:hAnsi="宋体" w:cs="宋体"/>
          <w:i/>
          <w:color w:val="auto"/>
          <w:szCs w:val="21"/>
          <w:highlight w:val="none"/>
          <w:u w:val="single"/>
        </w:rPr>
        <w:t>成交供应商不得将服务进行转包。</w:t>
      </w:r>
      <w:r>
        <w:rPr>
          <w:rFonts w:hint="eastAsia" w:ascii="宋体" w:hAnsi="宋体" w:cs="宋体"/>
          <w:color w:val="auto"/>
          <w:szCs w:val="21"/>
          <w:highlight w:val="none"/>
        </w:rPr>
        <w:t>未经采购人同意，成交供应商也不得采用分包的形式履行合同，否则采购人有权终止合同。转包或分包造成采购人损失的，成交供应商应承担相应赔偿责任。</w:t>
      </w:r>
    </w:p>
    <w:p w14:paraId="66A75A2B">
      <w:pPr>
        <w:pStyle w:val="10"/>
        <w:rPr>
          <w:rFonts w:hint="eastAsia" w:ascii="宋体" w:hAnsi="宋体" w:cs="宋体"/>
          <w:color w:val="auto"/>
          <w:szCs w:val="21"/>
          <w:highlight w:val="none"/>
        </w:rPr>
      </w:pPr>
    </w:p>
    <w:p w14:paraId="7CACA39A">
      <w:pPr>
        <w:pStyle w:val="11"/>
        <w:rPr>
          <w:rFonts w:hint="eastAsia"/>
        </w:rPr>
      </w:pPr>
    </w:p>
    <w:p w14:paraId="1314B292">
      <w:pPr>
        <w:pStyle w:val="10"/>
      </w:pPr>
    </w:p>
    <w:p w14:paraId="56F099C3">
      <w:pPr>
        <w:pStyle w:val="2"/>
        <w:spacing w:before="0" w:after="0" w:line="360" w:lineRule="auto"/>
        <w:jc w:val="center"/>
        <w:rPr>
          <w:rFonts w:ascii="宋体"/>
          <w:color w:val="auto"/>
          <w:sz w:val="36"/>
          <w:highlight w:val="none"/>
        </w:rPr>
      </w:pPr>
      <w:bookmarkStart w:id="119" w:name="_Toc497145841"/>
      <w:r>
        <w:rPr>
          <w:rFonts w:hint="eastAsia" w:ascii="宋体" w:hAnsi="宋体"/>
          <w:color w:val="auto"/>
          <w:sz w:val="36"/>
          <w:highlight w:val="none"/>
        </w:rPr>
        <w:t>第三章合同条款及格式</w:t>
      </w:r>
      <w:bookmarkEnd w:id="119"/>
    </w:p>
    <w:p w14:paraId="1F656ECA">
      <w:pPr>
        <w:pStyle w:val="14"/>
        <w:snapToGrid w:val="0"/>
        <w:spacing w:before="120" w:after="120" w:line="360" w:lineRule="auto"/>
        <w:ind w:firstLine="210" w:firstLineChars="100"/>
        <w:rPr>
          <w:rFonts w:hAnsi="宋体"/>
          <w:color w:val="auto"/>
          <w:sz w:val="21"/>
          <w:highlight w:val="none"/>
        </w:rPr>
      </w:pPr>
      <w:r>
        <w:rPr>
          <w:rFonts w:hint="eastAsia" w:hAnsi="宋体"/>
          <w:color w:val="auto"/>
          <w:sz w:val="21"/>
          <w:highlight w:val="none"/>
        </w:rPr>
        <w:t>以下为成交后签订本项目合同的通用条款，成交供应商不得提出实质性的修改，关于专用条款将由采购人与成交供应商结合本项目具体情况协商后签订。</w:t>
      </w:r>
    </w:p>
    <w:p w14:paraId="7FE78B12">
      <w:pPr>
        <w:spacing w:before="156" w:beforeLines="50" w:after="156" w:afterLines="50" w:line="360" w:lineRule="auto"/>
        <w:jc w:val="center"/>
        <w:outlineLvl w:val="0"/>
        <w:rPr>
          <w:rFonts w:ascii="宋体"/>
          <w:b/>
          <w:color w:val="auto"/>
          <w:kern w:val="0"/>
          <w:szCs w:val="21"/>
          <w:highlight w:val="none"/>
        </w:rPr>
      </w:pPr>
      <w:r>
        <w:rPr>
          <w:rFonts w:hint="eastAsia" w:ascii="宋体" w:hAnsi="宋体"/>
          <w:b/>
          <w:color w:val="auto"/>
          <w:szCs w:val="21"/>
          <w:highlight w:val="none"/>
        </w:rPr>
        <w:t>采购合同（服务）</w:t>
      </w:r>
    </w:p>
    <w:p w14:paraId="3848A708">
      <w:pPr>
        <w:pStyle w:val="14"/>
        <w:snapToGrid w:val="0"/>
        <w:spacing w:before="120" w:after="120" w:line="360" w:lineRule="auto"/>
        <w:rPr>
          <w:rFonts w:ascii="Times New Roman" w:hAnsi="Times New Roman"/>
          <w:sz w:val="21"/>
        </w:rPr>
      </w:pPr>
      <w:r>
        <w:rPr>
          <w:rFonts w:hint="eastAsia" w:ascii="Times New Roman" w:hAnsi="Times New Roman"/>
          <w:sz w:val="21"/>
        </w:rPr>
        <w:t>项目名称：</w:t>
      </w:r>
    </w:p>
    <w:p w14:paraId="007A36E1">
      <w:pPr>
        <w:pStyle w:val="14"/>
        <w:snapToGrid w:val="0"/>
        <w:spacing w:before="120" w:after="120" w:line="360" w:lineRule="auto"/>
        <w:rPr>
          <w:rFonts w:hint="eastAsia" w:ascii="Times New Roman" w:hAnsi="Times New Roman" w:eastAsia="宋体"/>
          <w:sz w:val="21"/>
          <w:lang w:eastAsia="zh-CN"/>
        </w:rPr>
      </w:pPr>
      <w:r>
        <w:rPr>
          <w:rFonts w:hint="eastAsia" w:ascii="Times New Roman" w:hAnsi="Times New Roman"/>
          <w:sz w:val="21"/>
        </w:rPr>
        <w:t>编号：</w:t>
      </w:r>
    </w:p>
    <w:p w14:paraId="0F0CF530">
      <w:pPr>
        <w:pStyle w:val="14"/>
        <w:snapToGrid w:val="0"/>
        <w:spacing w:before="120" w:after="120" w:line="360" w:lineRule="auto"/>
        <w:rPr>
          <w:rFonts w:hint="eastAsia" w:ascii="Times New Roman" w:hAnsi="Times New Roman" w:eastAsia="宋体"/>
          <w:sz w:val="21"/>
          <w:lang w:eastAsia="zh-CN"/>
        </w:rPr>
      </w:pPr>
      <w:r>
        <w:rPr>
          <w:rFonts w:hint="eastAsia" w:ascii="Times New Roman" w:hAnsi="Times New Roman"/>
          <w:sz w:val="21"/>
        </w:rPr>
        <w:t>甲方（采购人/买方）：</w:t>
      </w:r>
      <w:r>
        <w:rPr>
          <w:rFonts w:hint="eastAsia" w:ascii="Times New Roman" w:hAnsi="Times New Roman"/>
          <w:sz w:val="21"/>
          <w:lang w:val="en-US" w:eastAsia="zh-CN"/>
        </w:rPr>
        <w:t xml:space="preserve"> </w:t>
      </w:r>
    </w:p>
    <w:p w14:paraId="7E81D24B">
      <w:pPr>
        <w:pStyle w:val="14"/>
        <w:snapToGrid w:val="0"/>
        <w:spacing w:before="120" w:after="120" w:line="360" w:lineRule="auto"/>
        <w:rPr>
          <w:rFonts w:ascii="Times New Roman" w:hAnsi="Times New Roman"/>
          <w:sz w:val="21"/>
          <w:u w:val="single"/>
        </w:rPr>
      </w:pPr>
      <w:r>
        <w:rPr>
          <w:rFonts w:hint="eastAsia" w:ascii="Times New Roman" w:hAnsi="Times New Roman"/>
          <w:sz w:val="21"/>
        </w:rPr>
        <w:t>乙方（供应商/卖方）：</w:t>
      </w:r>
    </w:p>
    <w:p w14:paraId="0F83B46B">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根据《中华人民共和国民法典》等法律法规的规定，甲乙双方按照江苏苏维工程管理有限公司关于本项目</w:t>
      </w:r>
      <w:r>
        <w:rPr>
          <w:rFonts w:hint="eastAsia" w:ascii="Times New Roman" w:hAnsi="Times New Roman"/>
          <w:sz w:val="21"/>
          <w:lang w:eastAsia="zh-CN"/>
        </w:rPr>
        <w:t>磋商</w:t>
      </w:r>
      <w:r>
        <w:rPr>
          <w:rFonts w:hint="eastAsia" w:ascii="Times New Roman" w:hAnsi="Times New Roman"/>
          <w:sz w:val="21"/>
        </w:rPr>
        <w:t>采购结果签订本合同。</w:t>
      </w:r>
    </w:p>
    <w:p w14:paraId="2C93C9F8">
      <w:pPr>
        <w:pStyle w:val="14"/>
        <w:snapToGrid w:val="0"/>
        <w:spacing w:before="120" w:after="120" w:line="360" w:lineRule="auto"/>
        <w:ind w:firstLine="422" w:firstLineChars="200"/>
        <w:rPr>
          <w:rFonts w:ascii="Times New Roman" w:hAnsi="Times New Roman"/>
          <w:b/>
          <w:bCs/>
          <w:sz w:val="21"/>
        </w:rPr>
      </w:pPr>
      <w:r>
        <w:rPr>
          <w:rFonts w:hint="eastAsia" w:ascii="Times New Roman" w:hAnsi="Times New Roman"/>
          <w:b/>
          <w:bCs/>
          <w:sz w:val="21"/>
        </w:rPr>
        <w:t>1、合同标的</w:t>
      </w:r>
    </w:p>
    <w:p w14:paraId="70EFB414">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乙方根据甲方需求，提供下列服务：</w:t>
      </w:r>
      <w:r>
        <w:rPr>
          <w:rFonts w:hint="eastAsia" w:ascii="Times New Roman" w:hAnsi="Times New Roman"/>
          <w:sz w:val="21"/>
          <w:u w:val="single"/>
          <w:lang w:val="en-US" w:eastAsia="zh-CN"/>
        </w:rPr>
        <w:t xml:space="preserve">                    </w:t>
      </w:r>
      <w:r>
        <w:rPr>
          <w:rFonts w:hint="eastAsia" w:ascii="Times New Roman" w:hAnsi="Times New Roman"/>
          <w:sz w:val="21"/>
        </w:rPr>
        <w:t>。</w:t>
      </w:r>
    </w:p>
    <w:p w14:paraId="0B848C27">
      <w:pPr>
        <w:pStyle w:val="14"/>
        <w:snapToGrid w:val="0"/>
        <w:spacing w:before="120" w:after="120" w:line="360" w:lineRule="auto"/>
        <w:ind w:firstLine="420" w:firstLineChars="200"/>
        <w:rPr>
          <w:rFonts w:ascii="Times New Roman" w:hAnsi="Times New Roman"/>
          <w:b/>
          <w:sz w:val="21"/>
        </w:rPr>
      </w:pPr>
      <w:r>
        <w:rPr>
          <w:rFonts w:hint="eastAsia" w:ascii="Times New Roman" w:hAnsi="Times New Roman"/>
          <w:sz w:val="21"/>
        </w:rPr>
        <w:t>服务内容等要求详见</w:t>
      </w:r>
      <w:r>
        <w:rPr>
          <w:rFonts w:hint="eastAsia" w:ascii="Times New Roman" w:hAnsi="Times New Roman"/>
          <w:sz w:val="21"/>
          <w:lang w:eastAsia="zh-CN"/>
        </w:rPr>
        <w:t>磋商</w:t>
      </w:r>
      <w:r>
        <w:rPr>
          <w:rFonts w:hint="eastAsia" w:ascii="Times New Roman" w:hAnsi="Times New Roman"/>
          <w:sz w:val="21"/>
        </w:rPr>
        <w:t>采购文件及乙方响应文件。</w:t>
      </w:r>
    </w:p>
    <w:p w14:paraId="7948ED82">
      <w:pPr>
        <w:pStyle w:val="14"/>
        <w:snapToGrid w:val="0"/>
        <w:spacing w:before="120" w:after="120" w:line="360" w:lineRule="auto"/>
        <w:ind w:firstLine="422" w:firstLineChars="200"/>
        <w:rPr>
          <w:rFonts w:ascii="Times New Roman" w:hAnsi="Times New Roman"/>
          <w:b/>
          <w:bCs/>
          <w:sz w:val="21"/>
        </w:rPr>
      </w:pPr>
      <w:r>
        <w:rPr>
          <w:rFonts w:hint="eastAsia" w:ascii="Times New Roman" w:hAnsi="Times New Roman"/>
          <w:b/>
          <w:bCs/>
          <w:sz w:val="21"/>
        </w:rPr>
        <w:t>2、合同总金额</w:t>
      </w:r>
    </w:p>
    <w:p w14:paraId="767A877F">
      <w:pPr>
        <w:pStyle w:val="14"/>
        <w:snapToGrid w:val="0"/>
        <w:spacing w:before="120" w:after="120" w:line="360" w:lineRule="auto"/>
        <w:ind w:left="315" w:leftChars="150" w:firstLine="105" w:firstLineChars="50"/>
        <w:rPr>
          <w:rFonts w:ascii="Times New Roman" w:hAnsi="Times New Roman"/>
          <w:sz w:val="21"/>
        </w:rPr>
      </w:pPr>
      <w:r>
        <w:rPr>
          <w:rFonts w:hint="eastAsia" w:ascii="Times New Roman" w:hAnsi="Times New Roman"/>
          <w:sz w:val="21"/>
        </w:rPr>
        <w:t>2.1 本合同金额为（大写）：_______________________________元人民币（¥_____元）。</w:t>
      </w:r>
    </w:p>
    <w:p w14:paraId="00ED0555">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2.2 本合同总金额包括乙方提供的服务及其他有关的为完成本项目发生的所有费用，</w:t>
      </w:r>
      <w:r>
        <w:rPr>
          <w:rFonts w:hint="eastAsia" w:ascii="Times New Roman" w:hAnsi="Times New Roman"/>
          <w:sz w:val="21"/>
          <w:lang w:eastAsia="zh-CN"/>
        </w:rPr>
        <w:t>磋商</w:t>
      </w:r>
      <w:r>
        <w:rPr>
          <w:rFonts w:hint="eastAsia" w:ascii="Times New Roman" w:hAnsi="Times New Roman"/>
          <w:sz w:val="21"/>
        </w:rPr>
        <w:t>采购文件中另有规定的除外。</w:t>
      </w:r>
    </w:p>
    <w:p w14:paraId="1D54D10C">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2.3 在</w:t>
      </w:r>
      <w:r>
        <w:rPr>
          <w:rFonts w:hint="eastAsia" w:ascii="Times New Roman" w:hAnsi="Times New Roman"/>
          <w:sz w:val="21"/>
          <w:lang w:eastAsia="zh-CN"/>
        </w:rPr>
        <w:t>磋商</w:t>
      </w:r>
      <w:r>
        <w:rPr>
          <w:rFonts w:hint="eastAsia" w:ascii="Times New Roman" w:hAnsi="Times New Roman"/>
          <w:sz w:val="21"/>
        </w:rPr>
        <w:t>采购文件未列明，而乙方认为履行本合同必需的费用也包含在合同总金额中。</w:t>
      </w:r>
    </w:p>
    <w:p w14:paraId="337E8F40">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2.4 本合同总金额还包含乙方提供的伴随服务/售后服务费用。</w:t>
      </w:r>
    </w:p>
    <w:p w14:paraId="4A248651">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2.5 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w:t>
      </w:r>
      <w:r>
        <w:rPr>
          <w:rFonts w:hint="eastAsia" w:ascii="Times New Roman" w:hAnsi="Times New Roman"/>
          <w:sz w:val="21"/>
          <w:lang w:eastAsia="zh-CN"/>
        </w:rPr>
        <w:t>磋商</w:t>
      </w:r>
      <w:r>
        <w:rPr>
          <w:rFonts w:hint="eastAsia" w:ascii="Times New Roman" w:hAnsi="Times New Roman"/>
          <w:sz w:val="21"/>
        </w:rPr>
        <w:t>采购采购时的价格水平做相应的调减，并据此签订补充合同；除上述情况外，本合同执行期间合同总金额不变。</w:t>
      </w:r>
    </w:p>
    <w:p w14:paraId="0CE91272">
      <w:pPr>
        <w:pStyle w:val="14"/>
        <w:snapToGrid w:val="0"/>
        <w:spacing w:before="120" w:after="120" w:line="360" w:lineRule="auto"/>
        <w:ind w:firstLine="422" w:firstLineChars="200"/>
        <w:rPr>
          <w:rFonts w:ascii="Times New Roman" w:hAnsi="Times New Roman"/>
          <w:b/>
          <w:bCs/>
          <w:sz w:val="21"/>
        </w:rPr>
      </w:pPr>
      <w:r>
        <w:rPr>
          <w:rFonts w:hint="eastAsia" w:ascii="Times New Roman" w:hAnsi="Times New Roman"/>
          <w:b/>
          <w:bCs/>
          <w:sz w:val="21"/>
        </w:rPr>
        <w:t>3、组成本合同的有关文件</w:t>
      </w:r>
    </w:p>
    <w:p w14:paraId="17EA6093">
      <w:pPr>
        <w:pStyle w:val="14"/>
        <w:snapToGrid w:val="0"/>
        <w:spacing w:before="120" w:after="120" w:line="360" w:lineRule="auto"/>
        <w:ind w:left="315" w:leftChars="150" w:firstLine="105" w:firstLineChars="50"/>
        <w:rPr>
          <w:rFonts w:ascii="Times New Roman" w:hAnsi="Times New Roman"/>
          <w:sz w:val="21"/>
        </w:rPr>
      </w:pPr>
      <w:r>
        <w:rPr>
          <w:rFonts w:hint="eastAsia" w:ascii="Times New Roman" w:hAnsi="Times New Roman"/>
          <w:sz w:val="21"/>
        </w:rPr>
        <w:t>3.1乙方应按</w:t>
      </w:r>
      <w:r>
        <w:rPr>
          <w:rFonts w:hint="eastAsia" w:ascii="Times New Roman" w:hAnsi="Times New Roman"/>
          <w:sz w:val="21"/>
          <w:lang w:eastAsia="zh-CN"/>
        </w:rPr>
        <w:t>磋商</w:t>
      </w:r>
      <w:r>
        <w:rPr>
          <w:rFonts w:hint="eastAsia" w:ascii="Times New Roman" w:hAnsi="Times New Roman"/>
          <w:sz w:val="21"/>
        </w:rPr>
        <w:t>采购文件规定的时间向甲方提供服务的有关技术资料。</w:t>
      </w:r>
    </w:p>
    <w:p w14:paraId="7F178284">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3.2 没有甲方事先书面同意，乙方不得将由甲方提供的有关合同或任何合同条文或资料提供给任何其他人。即使向履行本合同有关的人员提供，也应注意保密并限于履行合同的必需范围。</w:t>
      </w:r>
    </w:p>
    <w:p w14:paraId="14B7B073">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3.3 关于本项目政府采购的</w:t>
      </w:r>
      <w:r>
        <w:rPr>
          <w:rFonts w:hint="eastAsia" w:ascii="Times New Roman" w:hAnsi="Times New Roman"/>
          <w:sz w:val="21"/>
          <w:lang w:eastAsia="zh-CN"/>
        </w:rPr>
        <w:t>磋商</w:t>
      </w:r>
      <w:r>
        <w:rPr>
          <w:rFonts w:hint="eastAsia" w:ascii="Times New Roman" w:hAnsi="Times New Roman"/>
          <w:sz w:val="21"/>
        </w:rPr>
        <w:t>采购文件、</w:t>
      </w:r>
      <w:r>
        <w:rPr>
          <w:rFonts w:hint="eastAsia" w:ascii="Times New Roman" w:hAnsi="Times New Roman"/>
          <w:sz w:val="21"/>
          <w:lang w:eastAsia="zh-CN"/>
        </w:rPr>
        <w:t>磋商</w:t>
      </w:r>
      <w:r>
        <w:rPr>
          <w:rFonts w:hint="eastAsia" w:ascii="Times New Roman" w:hAnsi="Times New Roman"/>
          <w:sz w:val="21"/>
        </w:rPr>
        <w:t>采购响应文件或与本次采购活动方式相适应的文件及有关附件是本合同不可分割的组成部分，这些文件包括但不限于：</w:t>
      </w:r>
    </w:p>
    <w:p w14:paraId="4CF6E0F5">
      <w:pPr>
        <w:pStyle w:val="14"/>
        <w:snapToGrid w:val="0"/>
        <w:spacing w:before="120" w:after="120" w:line="360" w:lineRule="auto"/>
        <w:ind w:left="359" w:hanging="359" w:hangingChars="171"/>
        <w:rPr>
          <w:rFonts w:ascii="Times New Roman" w:hAnsi="Times New Roman"/>
          <w:sz w:val="21"/>
        </w:rPr>
      </w:pPr>
      <w:r>
        <w:rPr>
          <w:rFonts w:hint="eastAsia" w:ascii="Times New Roman" w:hAnsi="Times New Roman"/>
          <w:sz w:val="21"/>
        </w:rPr>
        <w:t xml:space="preserve">   （1）</w:t>
      </w:r>
      <w:r>
        <w:rPr>
          <w:rFonts w:hint="eastAsia" w:ascii="Times New Roman" w:hAnsi="Times New Roman"/>
          <w:sz w:val="21"/>
          <w:lang w:eastAsia="zh-CN"/>
        </w:rPr>
        <w:t>磋商</w:t>
      </w:r>
      <w:r>
        <w:rPr>
          <w:rFonts w:hint="eastAsia" w:ascii="Times New Roman" w:hAnsi="Times New Roman"/>
          <w:sz w:val="21"/>
        </w:rPr>
        <w:t>采购文件；               （2）</w:t>
      </w:r>
      <w:r>
        <w:rPr>
          <w:rFonts w:hint="eastAsia" w:ascii="Times New Roman" w:hAnsi="Times New Roman"/>
          <w:sz w:val="21"/>
          <w:lang w:eastAsia="zh-CN"/>
        </w:rPr>
        <w:t>磋商</w:t>
      </w:r>
      <w:r>
        <w:rPr>
          <w:rFonts w:hint="eastAsia" w:ascii="Times New Roman" w:hAnsi="Times New Roman"/>
          <w:sz w:val="21"/>
        </w:rPr>
        <w:t>采购报价文件；</w:t>
      </w:r>
    </w:p>
    <w:p w14:paraId="75E882F5">
      <w:pPr>
        <w:pStyle w:val="14"/>
        <w:snapToGrid w:val="0"/>
        <w:spacing w:before="120" w:after="120" w:line="360" w:lineRule="auto"/>
        <w:ind w:left="359" w:hanging="359" w:hangingChars="171"/>
        <w:rPr>
          <w:rFonts w:ascii="Times New Roman" w:hAnsi="Times New Roman"/>
          <w:sz w:val="21"/>
        </w:rPr>
      </w:pPr>
      <w:r>
        <w:rPr>
          <w:rFonts w:hint="eastAsia" w:ascii="Times New Roman" w:hAnsi="Times New Roman"/>
          <w:sz w:val="21"/>
        </w:rPr>
        <w:t xml:space="preserve">   （3）项目组人员表         </w:t>
      </w:r>
      <w:bookmarkStart w:id="128" w:name="_GoBack"/>
      <w:bookmarkEnd w:id="128"/>
      <w:r>
        <w:rPr>
          <w:rFonts w:hint="eastAsia" w:ascii="Times New Roman" w:hAnsi="Times New Roman"/>
          <w:sz w:val="21"/>
        </w:rPr>
        <w:t xml:space="preserve">        （4）技术参数、商务条款响应及偏离表；</w:t>
      </w:r>
    </w:p>
    <w:p w14:paraId="332D1D31">
      <w:pPr>
        <w:pStyle w:val="14"/>
        <w:snapToGrid w:val="0"/>
        <w:spacing w:before="120" w:after="120" w:line="360" w:lineRule="auto"/>
        <w:ind w:left="359" w:hanging="359" w:hangingChars="171"/>
        <w:rPr>
          <w:rFonts w:ascii="Times New Roman" w:hAnsi="Times New Roman"/>
          <w:sz w:val="21"/>
        </w:rPr>
      </w:pPr>
      <w:r>
        <w:rPr>
          <w:rFonts w:hint="eastAsia" w:ascii="Times New Roman" w:hAnsi="Times New Roman"/>
          <w:sz w:val="21"/>
        </w:rPr>
        <w:t xml:space="preserve">   （5）</w:t>
      </w:r>
      <w:r>
        <w:rPr>
          <w:rFonts w:hint="eastAsia" w:ascii="Times New Roman" w:hAnsi="Times New Roman"/>
          <w:color w:val="000000" w:themeColor="text1"/>
          <w:sz w:val="21"/>
          <w14:textFill>
            <w14:solidFill>
              <w14:schemeClr w14:val="tx1"/>
            </w14:solidFill>
          </w14:textFill>
        </w:rPr>
        <w:t>项目需求、</w:t>
      </w:r>
      <w:r>
        <w:rPr>
          <w:rFonts w:hint="eastAsia" w:ascii="Times New Roman" w:hAnsi="Times New Roman"/>
          <w:sz w:val="21"/>
        </w:rPr>
        <w:t>服务承诺；                   （6）成交通知书；</w:t>
      </w:r>
    </w:p>
    <w:p w14:paraId="7F38467B">
      <w:pPr>
        <w:pStyle w:val="14"/>
        <w:snapToGrid w:val="0"/>
        <w:spacing w:before="120" w:after="120" w:line="360" w:lineRule="auto"/>
        <w:ind w:left="359" w:hanging="359" w:hangingChars="171"/>
        <w:rPr>
          <w:rFonts w:ascii="Times New Roman" w:hAnsi="Times New Roman"/>
          <w:sz w:val="21"/>
        </w:rPr>
      </w:pPr>
      <w:r>
        <w:rPr>
          <w:rFonts w:hint="eastAsia" w:ascii="Times New Roman" w:hAnsi="Times New Roman"/>
          <w:sz w:val="21"/>
        </w:rPr>
        <w:t xml:space="preserve">   （7）甲乙双方补充协议；           （8）乙方</w:t>
      </w:r>
      <w:r>
        <w:rPr>
          <w:rFonts w:hint="eastAsia" w:ascii="Times New Roman" w:hAnsi="Times New Roman"/>
          <w:sz w:val="21"/>
          <w:lang w:eastAsia="zh-CN"/>
        </w:rPr>
        <w:t>磋商</w:t>
      </w:r>
      <w:r>
        <w:rPr>
          <w:rFonts w:hint="eastAsia" w:ascii="Times New Roman" w:hAnsi="Times New Roman"/>
          <w:sz w:val="21"/>
        </w:rPr>
        <w:t>采购时提供的响应文件。</w:t>
      </w:r>
    </w:p>
    <w:p w14:paraId="59A79A81">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4、知识产权保证</w:t>
      </w:r>
    </w:p>
    <w:p w14:paraId="2A7F0AB3">
      <w:pPr>
        <w:autoSpaceDE w:val="0"/>
        <w:autoSpaceDN w:val="0"/>
        <w:spacing w:line="360" w:lineRule="auto"/>
        <w:ind w:firstLine="420" w:firstLineChars="200"/>
        <w:rPr>
          <w:szCs w:val="21"/>
        </w:rPr>
      </w:pPr>
      <w:r>
        <w:rPr>
          <w:rFonts w:hint="eastAsia" w:cs="宋体"/>
          <w:szCs w:val="21"/>
        </w:rPr>
        <w:t>乙方保证甲方在使用、接受本合同服务或其任何一部分时，不受第三方提出侵犯其专利权、版权、商标权和工业设计权等知识产权的起诉。一旦出现侵权，由乙方负全部责任。</w:t>
      </w:r>
    </w:p>
    <w:p w14:paraId="24AEBCBF">
      <w:pPr>
        <w:pStyle w:val="14"/>
        <w:snapToGrid w:val="0"/>
        <w:spacing w:before="120" w:after="120" w:line="360" w:lineRule="auto"/>
        <w:ind w:firstLine="422" w:firstLineChars="200"/>
        <w:rPr>
          <w:rFonts w:ascii="Times New Roman" w:hAnsi="Times New Roman"/>
          <w:b/>
          <w:bCs/>
          <w:sz w:val="21"/>
        </w:rPr>
      </w:pPr>
      <w:r>
        <w:rPr>
          <w:rFonts w:hint="eastAsia" w:ascii="Times New Roman" w:hAnsi="Times New Roman"/>
          <w:b/>
          <w:bCs/>
          <w:sz w:val="21"/>
        </w:rPr>
        <w:t>5、产权保证</w:t>
      </w:r>
    </w:p>
    <w:p w14:paraId="28E67F1F">
      <w:pPr>
        <w:autoSpaceDE w:val="0"/>
        <w:autoSpaceDN w:val="0"/>
        <w:spacing w:line="360" w:lineRule="auto"/>
        <w:ind w:firstLine="420" w:firstLineChars="200"/>
        <w:rPr>
          <w:szCs w:val="21"/>
        </w:rPr>
      </w:pPr>
      <w:r>
        <w:rPr>
          <w:rFonts w:hint="eastAsia" w:cs="宋体"/>
          <w:szCs w:val="21"/>
        </w:rPr>
        <w:t>乙方保证所交付的服务和服务所涉及的物品所有权无任何抵押、查封等权利瑕疵。</w:t>
      </w:r>
    </w:p>
    <w:p w14:paraId="6F675794">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6、履约保证金</w:t>
      </w:r>
    </w:p>
    <w:p w14:paraId="4BDD61C6">
      <w:pPr>
        <w:autoSpaceDE w:val="0"/>
        <w:autoSpaceDN w:val="0"/>
        <w:spacing w:line="360" w:lineRule="auto"/>
        <w:ind w:firstLine="420" w:firstLineChars="200"/>
        <w:rPr>
          <w:rFonts w:cs="宋体"/>
          <w:szCs w:val="21"/>
        </w:rPr>
      </w:pPr>
      <w:r>
        <w:rPr>
          <w:rFonts w:hint="eastAsia" w:cs="宋体"/>
          <w:szCs w:val="21"/>
        </w:rPr>
        <w:t>无</w:t>
      </w:r>
    </w:p>
    <w:p w14:paraId="0223E51F">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7、转包</w:t>
      </w:r>
    </w:p>
    <w:p w14:paraId="50442BE6">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本合同禁止转包，本合同范围的服务，应由乙方直接提供的，不得转让给他人提供。</w:t>
      </w:r>
    </w:p>
    <w:p w14:paraId="354AE65D">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8、服务期</w:t>
      </w:r>
    </w:p>
    <w:p w14:paraId="68D2530F">
      <w:pPr>
        <w:spacing w:line="360" w:lineRule="auto"/>
        <w:ind w:firstLine="420" w:firstLineChars="200"/>
        <w:jc w:val="left"/>
        <w:outlineLvl w:val="0"/>
        <w:rPr>
          <w:rFonts w:cs="宋体"/>
          <w:color w:val="auto"/>
          <w:kern w:val="0"/>
          <w:szCs w:val="21"/>
          <w:highlight w:val="green"/>
        </w:rPr>
      </w:pPr>
      <w:r>
        <w:rPr>
          <w:rFonts w:hint="eastAsia" w:cs="宋体"/>
          <w:color w:val="auto"/>
          <w:kern w:val="0"/>
          <w:szCs w:val="21"/>
        </w:rPr>
        <w:t xml:space="preserve"> </w:t>
      </w:r>
      <w:r>
        <w:rPr>
          <w:rFonts w:hint="eastAsia" w:ascii="宋体" w:hAnsi="宋体"/>
          <w:color w:val="auto"/>
          <w:highlight w:val="none"/>
        </w:rPr>
        <w:t>以</w:t>
      </w:r>
      <w:r>
        <w:rPr>
          <w:rFonts w:hint="eastAsia" w:ascii="宋体" w:hAnsi="宋体"/>
          <w:color w:val="auto"/>
          <w:highlight w:val="none"/>
          <w:lang w:val="en-US" w:eastAsia="zh-CN"/>
        </w:rPr>
        <w:t>观影</w:t>
      </w:r>
      <w:r>
        <w:rPr>
          <w:rFonts w:hint="eastAsia" w:ascii="宋体" w:hAnsi="宋体"/>
          <w:color w:val="auto"/>
          <w:highlight w:val="none"/>
        </w:rPr>
        <w:t>券形式，收到采购人通知后5个工作日内发放，如采购人时间有变动以采购人通知时间为准</w:t>
      </w:r>
      <w:r>
        <w:rPr>
          <w:rFonts w:hint="eastAsia" w:cs="宋体"/>
          <w:color w:val="auto"/>
          <w:kern w:val="0"/>
          <w:szCs w:val="21"/>
          <w:highlight w:val="none"/>
        </w:rPr>
        <w:t>。</w:t>
      </w:r>
    </w:p>
    <w:p w14:paraId="4E5B4151">
      <w:pPr>
        <w:pStyle w:val="14"/>
        <w:snapToGrid w:val="0"/>
        <w:spacing w:before="120" w:after="120" w:line="360" w:lineRule="auto"/>
        <w:ind w:left="315" w:leftChars="150" w:firstLine="105" w:firstLineChars="50"/>
        <w:rPr>
          <w:rFonts w:ascii="Times New Roman" w:hAnsi="Times New Roman"/>
          <w:b/>
          <w:bCs/>
          <w:color w:val="auto"/>
          <w:sz w:val="21"/>
        </w:rPr>
      </w:pPr>
      <w:r>
        <w:rPr>
          <w:rFonts w:hint="eastAsia" w:ascii="Times New Roman" w:hAnsi="Times New Roman"/>
          <w:b/>
          <w:bCs/>
          <w:color w:val="auto"/>
          <w:sz w:val="21"/>
        </w:rPr>
        <w:t>9、</w:t>
      </w:r>
      <w:r>
        <w:rPr>
          <w:rFonts w:hint="eastAsia" w:ascii="Times New Roman" w:hAnsi="Times New Roman"/>
          <w:b/>
          <w:bCs/>
          <w:color w:val="auto"/>
          <w:sz w:val="21"/>
          <w:lang w:eastAsia="zh-CN"/>
        </w:rPr>
        <w:t>款项</w:t>
      </w:r>
      <w:r>
        <w:rPr>
          <w:rFonts w:hint="eastAsia" w:ascii="Times New Roman" w:hAnsi="Times New Roman"/>
          <w:b/>
          <w:bCs/>
          <w:color w:val="auto"/>
          <w:sz w:val="21"/>
        </w:rPr>
        <w:t>支付</w:t>
      </w:r>
    </w:p>
    <w:p w14:paraId="1B6D1FC3">
      <w:pPr>
        <w:autoSpaceDE w:val="0"/>
        <w:autoSpaceDN w:val="0"/>
        <w:spacing w:line="360" w:lineRule="auto"/>
        <w:ind w:firstLine="420" w:firstLineChars="200"/>
        <w:rPr>
          <w:rFonts w:cs="宋体"/>
          <w:color w:val="auto"/>
          <w:szCs w:val="21"/>
        </w:rPr>
      </w:pPr>
      <w:r>
        <w:rPr>
          <w:rFonts w:hint="eastAsia"/>
          <w:color w:val="auto"/>
          <w:szCs w:val="21"/>
        </w:rPr>
        <w:t>9</w:t>
      </w:r>
      <w:r>
        <w:rPr>
          <w:color w:val="auto"/>
          <w:szCs w:val="21"/>
        </w:rPr>
        <w:t xml:space="preserve">.1 </w:t>
      </w:r>
      <w:r>
        <w:rPr>
          <w:rFonts w:hint="eastAsia" w:cs="宋体"/>
          <w:color w:val="auto"/>
          <w:szCs w:val="21"/>
        </w:rPr>
        <w:t xml:space="preserve">本合同项下所有款项均以人民币支付。 </w:t>
      </w:r>
    </w:p>
    <w:p w14:paraId="0FF8703F">
      <w:pPr>
        <w:autoSpaceDE w:val="0"/>
        <w:autoSpaceDN w:val="0"/>
        <w:spacing w:line="360" w:lineRule="auto"/>
        <w:ind w:firstLine="420" w:firstLineChars="200"/>
        <w:rPr>
          <w:color w:val="auto"/>
          <w:szCs w:val="21"/>
        </w:rPr>
      </w:pPr>
      <w:r>
        <w:rPr>
          <w:rFonts w:hint="eastAsia" w:cs="宋体"/>
          <w:color w:val="auto"/>
          <w:szCs w:val="21"/>
        </w:rPr>
        <w:t>9.2 本合同项下的采购资金由甲方支付，付款前乙方向甲方开具发票。</w:t>
      </w:r>
    </w:p>
    <w:p w14:paraId="4AA3775A">
      <w:pPr>
        <w:autoSpaceDE w:val="0"/>
        <w:autoSpaceDN w:val="0"/>
        <w:spacing w:line="360" w:lineRule="auto"/>
        <w:ind w:firstLine="420" w:firstLineChars="200"/>
        <w:rPr>
          <w:rFonts w:hint="eastAsia" w:eastAsia="宋体" w:cs="宋体"/>
          <w:color w:val="auto"/>
          <w:szCs w:val="21"/>
          <w:highlight w:val="none"/>
          <w:lang w:eastAsia="zh-CN"/>
        </w:rPr>
      </w:pPr>
      <w:r>
        <w:rPr>
          <w:rFonts w:hint="eastAsia" w:cs="宋体"/>
          <w:color w:val="auto"/>
          <w:szCs w:val="21"/>
        </w:rPr>
        <w:t>9.3 支付方式：</w:t>
      </w:r>
      <w:r>
        <w:rPr>
          <w:rFonts w:hint="eastAsia" w:cs="宋体"/>
          <w:color w:val="auto"/>
          <w:szCs w:val="21"/>
          <w:highlight w:val="none"/>
        </w:rPr>
        <w:t>甲乙双方签订合同中标供应商</w:t>
      </w:r>
      <w:r>
        <w:rPr>
          <w:rFonts w:hint="eastAsia" w:cs="宋体"/>
          <w:color w:val="auto"/>
          <w:szCs w:val="21"/>
          <w:highlight w:val="none"/>
          <w:lang w:val="en-US" w:eastAsia="zh-CN"/>
        </w:rPr>
        <w:t>以观影</w:t>
      </w:r>
      <w:r>
        <w:rPr>
          <w:rFonts w:hint="eastAsia" w:cs="宋体"/>
          <w:color w:val="auto"/>
          <w:szCs w:val="21"/>
          <w:highlight w:val="none"/>
        </w:rPr>
        <w:t>券形式足额发放电影观影劵后付款50%，余款</w:t>
      </w:r>
      <w:r>
        <w:rPr>
          <w:rFonts w:hint="eastAsia" w:cs="宋体"/>
          <w:color w:val="auto"/>
          <w:szCs w:val="21"/>
          <w:highlight w:val="none"/>
          <w:lang w:val="en-US" w:eastAsia="zh-CN"/>
        </w:rPr>
        <w:t>截止有效期满</w:t>
      </w:r>
      <w:r>
        <w:rPr>
          <w:rFonts w:hint="eastAsia" w:cs="宋体"/>
          <w:color w:val="auto"/>
          <w:szCs w:val="21"/>
          <w:highlight w:val="none"/>
        </w:rPr>
        <w:t>后付清</w:t>
      </w:r>
      <w:r>
        <w:rPr>
          <w:rFonts w:hint="eastAsia" w:cs="宋体"/>
          <w:color w:val="auto"/>
          <w:szCs w:val="21"/>
          <w:highlight w:val="none"/>
          <w:lang w:eastAsia="zh-CN"/>
        </w:rPr>
        <w:t>。</w:t>
      </w:r>
    </w:p>
    <w:p w14:paraId="3D0DA2F3">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10、税费</w:t>
      </w:r>
    </w:p>
    <w:p w14:paraId="687248DE">
      <w:pPr>
        <w:pStyle w:val="14"/>
        <w:snapToGrid w:val="0"/>
        <w:spacing w:before="120" w:after="120" w:line="360" w:lineRule="auto"/>
        <w:ind w:firstLine="420" w:firstLineChars="200"/>
        <w:rPr>
          <w:rFonts w:ascii="Times New Roman" w:hAnsi="Times New Roman"/>
          <w:b/>
          <w:bCs/>
          <w:sz w:val="21"/>
        </w:rPr>
      </w:pPr>
      <w:r>
        <w:rPr>
          <w:rFonts w:hint="eastAsia" w:ascii="Times New Roman" w:hAnsi="Times New Roman" w:cs="宋体"/>
          <w:sz w:val="21"/>
        </w:rPr>
        <w:t>本合同执行中相关的一切税费均由乙方负担。</w:t>
      </w:r>
    </w:p>
    <w:p w14:paraId="7DCD6E6F">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11、质量保证及售后服务</w:t>
      </w:r>
    </w:p>
    <w:p w14:paraId="50863EB8">
      <w:pPr>
        <w:spacing w:before="156" w:beforeLines="50" w:after="156" w:afterLines="50" w:line="360" w:lineRule="auto"/>
        <w:ind w:firstLine="420" w:firstLineChars="200"/>
        <w:rPr>
          <w:szCs w:val="21"/>
        </w:rPr>
      </w:pPr>
      <w:r>
        <w:rPr>
          <w:rFonts w:hint="eastAsia" w:cs="宋体"/>
          <w:szCs w:val="21"/>
        </w:rPr>
        <w:t>11.1 乙方应按</w:t>
      </w:r>
      <w:r>
        <w:rPr>
          <w:rFonts w:hint="eastAsia" w:cs="宋体"/>
          <w:szCs w:val="21"/>
          <w:lang w:eastAsia="zh-CN"/>
        </w:rPr>
        <w:t>磋商</w:t>
      </w:r>
      <w:r>
        <w:rPr>
          <w:rFonts w:hint="eastAsia" w:cs="宋体"/>
          <w:szCs w:val="21"/>
        </w:rPr>
        <w:t>采购文件规定及响应文件承诺的技术性能、技术要求、质量标准向甲方提供服务；若无特殊说明，则按国家有关部门最新颁布的标准及规范为准。</w:t>
      </w:r>
    </w:p>
    <w:p w14:paraId="4785F92D">
      <w:pPr>
        <w:spacing w:before="156" w:beforeLines="50" w:after="156" w:afterLines="50" w:line="360" w:lineRule="auto"/>
        <w:ind w:firstLine="420" w:firstLineChars="200"/>
        <w:rPr>
          <w:szCs w:val="21"/>
        </w:rPr>
      </w:pPr>
      <w:r>
        <w:rPr>
          <w:rFonts w:hint="eastAsia" w:cs="宋体"/>
          <w:szCs w:val="21"/>
        </w:rPr>
        <w:t>11.2乙方应保证其提供的服务是全面和规范的，并完全符合</w:t>
      </w:r>
      <w:r>
        <w:rPr>
          <w:rFonts w:hint="eastAsia" w:cs="宋体"/>
          <w:szCs w:val="21"/>
          <w:lang w:eastAsia="zh-CN"/>
        </w:rPr>
        <w:t>磋商</w:t>
      </w:r>
      <w:r>
        <w:rPr>
          <w:rFonts w:hint="eastAsia" w:cs="宋体"/>
          <w:szCs w:val="21"/>
        </w:rPr>
        <w:t>采购及响应文件。如因乙方提供的服务有瑕疵造成甲方损失的，所需费用由乙方承担。</w:t>
      </w:r>
    </w:p>
    <w:p w14:paraId="4705EEF2">
      <w:pPr>
        <w:spacing w:before="156" w:beforeLines="50" w:after="156" w:afterLines="50" w:line="360" w:lineRule="auto"/>
        <w:ind w:firstLine="420" w:firstLineChars="200"/>
        <w:rPr>
          <w:rFonts w:cs="宋体"/>
          <w:szCs w:val="21"/>
        </w:rPr>
      </w:pPr>
      <w:r>
        <w:rPr>
          <w:rFonts w:hint="eastAsia" w:cs="宋体"/>
          <w:szCs w:val="21"/>
        </w:rPr>
        <w:t>11.3 服务过程中，乙方应对所提供服务出现的质量及安全问题负责处理解决并承担一切费用。</w:t>
      </w:r>
    </w:p>
    <w:p w14:paraId="1FC91CCD">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12、交付和验收</w:t>
      </w:r>
    </w:p>
    <w:p w14:paraId="19D042CF">
      <w:pPr>
        <w:spacing w:line="360" w:lineRule="auto"/>
        <w:ind w:firstLine="420" w:firstLineChars="200"/>
        <w:rPr>
          <w:szCs w:val="21"/>
        </w:rPr>
      </w:pPr>
      <w:r>
        <w:rPr>
          <w:rFonts w:hint="eastAsia"/>
          <w:szCs w:val="21"/>
        </w:rPr>
        <w:t>12.1 乙方应当在规定时间内完成服务事项，</w:t>
      </w:r>
      <w:r>
        <w:rPr>
          <w:rFonts w:hint="eastAsia"/>
          <w:szCs w:val="21"/>
          <w:lang w:eastAsia="zh-CN"/>
        </w:rPr>
        <w:t>磋商</w:t>
      </w:r>
      <w:r>
        <w:rPr>
          <w:rFonts w:hint="eastAsia"/>
          <w:szCs w:val="21"/>
        </w:rPr>
        <w:t>采购文件有约定的，从其约定。</w:t>
      </w:r>
    </w:p>
    <w:p w14:paraId="64161E36">
      <w:pPr>
        <w:spacing w:line="360" w:lineRule="auto"/>
        <w:ind w:firstLine="420" w:firstLineChars="200"/>
        <w:rPr>
          <w:szCs w:val="21"/>
        </w:rPr>
      </w:pPr>
      <w:r>
        <w:rPr>
          <w:rFonts w:hint="eastAsia"/>
          <w:szCs w:val="21"/>
        </w:rPr>
        <w:t>在交付前，乙方应作出全面检查和对验收文件进行整理，并列出清单，作为甲方初验收和使用的技术条件依据，检验的结果交甲方。</w:t>
      </w:r>
    </w:p>
    <w:p w14:paraId="0152D7A0">
      <w:pPr>
        <w:spacing w:line="360" w:lineRule="auto"/>
        <w:ind w:firstLine="420" w:firstLineChars="200"/>
        <w:rPr>
          <w:szCs w:val="21"/>
        </w:rPr>
      </w:pPr>
      <w:r>
        <w:rPr>
          <w:rFonts w:hint="eastAsia"/>
          <w:szCs w:val="21"/>
        </w:rPr>
        <w:t>12.2 验收标准：按乙方</w:t>
      </w:r>
      <w:r>
        <w:rPr>
          <w:rFonts w:hint="eastAsia"/>
          <w:szCs w:val="21"/>
          <w:lang w:eastAsia="zh-CN"/>
        </w:rPr>
        <w:t>磋商</w:t>
      </w:r>
      <w:r>
        <w:rPr>
          <w:rFonts w:hint="eastAsia"/>
          <w:szCs w:val="21"/>
        </w:rPr>
        <w:t>采购响应文件的承诺，并不低于国家相关标准。</w:t>
      </w:r>
    </w:p>
    <w:p w14:paraId="2B27E2F7">
      <w:pPr>
        <w:spacing w:line="360" w:lineRule="auto"/>
        <w:ind w:firstLine="420" w:firstLineChars="200"/>
        <w:rPr>
          <w:szCs w:val="21"/>
        </w:rPr>
      </w:pPr>
      <w:r>
        <w:rPr>
          <w:rFonts w:hint="eastAsia"/>
          <w:szCs w:val="21"/>
        </w:rPr>
        <w:t>对于乙方要交付的服务，甲乙双方须在</w:t>
      </w:r>
      <w:r>
        <w:rPr>
          <w:rFonts w:hint="eastAsia"/>
          <w:color w:val="FF0000"/>
          <w:szCs w:val="21"/>
        </w:rPr>
        <w:t>3个</w:t>
      </w:r>
      <w:r>
        <w:rPr>
          <w:rFonts w:hint="eastAsia"/>
          <w:szCs w:val="21"/>
        </w:rPr>
        <w:t>工作日内初验收，甲方对乙方提交的服务依据</w:t>
      </w:r>
      <w:r>
        <w:rPr>
          <w:rFonts w:hint="eastAsia"/>
          <w:szCs w:val="21"/>
          <w:lang w:eastAsia="zh-CN"/>
        </w:rPr>
        <w:t>磋商</w:t>
      </w:r>
      <w:r>
        <w:rPr>
          <w:rFonts w:hint="eastAsia"/>
          <w:szCs w:val="21"/>
        </w:rPr>
        <w:t>采购文件上的技术要求和国家有关质量标准进行现场初步验收，外观、说明书、包装符合</w:t>
      </w:r>
      <w:r>
        <w:rPr>
          <w:rFonts w:hint="eastAsia"/>
          <w:szCs w:val="21"/>
          <w:lang w:eastAsia="zh-CN"/>
        </w:rPr>
        <w:t>磋商</w:t>
      </w:r>
      <w:r>
        <w:rPr>
          <w:rFonts w:hint="eastAsia"/>
          <w:szCs w:val="21"/>
        </w:rPr>
        <w:t>采购文件技术要求的，给予签收，初步验收不合格的不予签收。</w:t>
      </w:r>
    </w:p>
    <w:p w14:paraId="1B40EA92">
      <w:pPr>
        <w:spacing w:line="360" w:lineRule="auto"/>
        <w:ind w:firstLine="420" w:firstLineChars="200"/>
        <w:rPr>
          <w:szCs w:val="21"/>
        </w:rPr>
      </w:pPr>
      <w:r>
        <w:rPr>
          <w:rFonts w:hint="eastAsia"/>
          <w:szCs w:val="21"/>
        </w:rPr>
        <w:t>12.3 乙方按照</w:t>
      </w:r>
      <w:r>
        <w:rPr>
          <w:rFonts w:hint="eastAsia"/>
          <w:szCs w:val="21"/>
          <w:lang w:eastAsia="zh-CN"/>
        </w:rPr>
        <w:t>磋商</w:t>
      </w:r>
      <w:r>
        <w:rPr>
          <w:rFonts w:hint="eastAsia"/>
          <w:szCs w:val="21"/>
        </w:rPr>
        <w:t>采购文件要求负责安装并培训甲方的使用操作人员，乙方在甲方使用前进行调试，调试直到符合技术要求的甲方才做最终验收。</w:t>
      </w:r>
    </w:p>
    <w:p w14:paraId="04D35B71">
      <w:pPr>
        <w:spacing w:line="360" w:lineRule="auto"/>
        <w:ind w:firstLine="420" w:firstLineChars="200"/>
        <w:rPr>
          <w:szCs w:val="21"/>
        </w:rPr>
      </w:pPr>
      <w:r>
        <w:rPr>
          <w:rFonts w:hint="eastAsia"/>
          <w:szCs w:val="21"/>
        </w:rPr>
        <w:t>12.4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14:paraId="1E2B7C48">
      <w:pPr>
        <w:spacing w:line="360" w:lineRule="auto"/>
        <w:ind w:firstLine="420" w:firstLineChars="200"/>
        <w:rPr>
          <w:szCs w:val="21"/>
        </w:rPr>
      </w:pPr>
      <w:r>
        <w:rPr>
          <w:rFonts w:hint="eastAsia"/>
          <w:szCs w:val="21"/>
        </w:rPr>
        <w:t>12.5 甲乙双方关于调试和验收的其他约定：。</w:t>
      </w:r>
    </w:p>
    <w:p w14:paraId="678EF9AB">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13、包装、发运及运输</w:t>
      </w:r>
    </w:p>
    <w:p w14:paraId="00B40930">
      <w:pPr>
        <w:pStyle w:val="14"/>
        <w:snapToGrid w:val="0"/>
        <w:spacing w:line="360" w:lineRule="auto"/>
        <w:ind w:firstLine="420" w:firstLineChars="200"/>
        <w:rPr>
          <w:rFonts w:ascii="Times New Roman" w:hAnsi="Times New Roman"/>
          <w:sz w:val="21"/>
        </w:rPr>
      </w:pPr>
      <w:r>
        <w:rPr>
          <w:rFonts w:hint="eastAsia" w:ascii="Times New Roman" w:hAnsi="Times New Roman"/>
          <w:sz w:val="21"/>
        </w:rPr>
        <w:t>13.1 乙方应对其提供的服务所涉及物品在发运前对其进行满足运输距离、防潮、防震、防锈和防破损装卸等要求包装，以保证安全运达甲方指定地点。</w:t>
      </w:r>
    </w:p>
    <w:p w14:paraId="0DABD992">
      <w:pPr>
        <w:pStyle w:val="14"/>
        <w:snapToGrid w:val="0"/>
        <w:spacing w:line="360" w:lineRule="auto"/>
        <w:ind w:firstLine="420" w:firstLineChars="200"/>
        <w:rPr>
          <w:rFonts w:ascii="Times New Roman" w:hAnsi="Times New Roman"/>
          <w:sz w:val="21"/>
        </w:rPr>
      </w:pPr>
      <w:r>
        <w:rPr>
          <w:rFonts w:hint="eastAsia" w:ascii="Times New Roman" w:hAnsi="Times New Roman"/>
          <w:sz w:val="21"/>
        </w:rPr>
        <w:t>13.2 乙方交付时，使用说明书、检验证明书、随配附件和工具以及清单一并附于内。</w:t>
      </w:r>
    </w:p>
    <w:p w14:paraId="789A7BFA">
      <w:pPr>
        <w:pStyle w:val="14"/>
        <w:snapToGrid w:val="0"/>
        <w:spacing w:line="360" w:lineRule="auto"/>
        <w:ind w:firstLine="420" w:firstLineChars="200"/>
        <w:rPr>
          <w:rFonts w:ascii="Times New Roman" w:hAnsi="Times New Roman"/>
          <w:sz w:val="21"/>
        </w:rPr>
      </w:pPr>
      <w:r>
        <w:rPr>
          <w:rFonts w:hint="eastAsia" w:ascii="Times New Roman" w:hAnsi="Times New Roman"/>
          <w:sz w:val="21"/>
        </w:rPr>
        <w:t>13.3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4A608425">
      <w:pPr>
        <w:pStyle w:val="14"/>
        <w:snapToGrid w:val="0"/>
        <w:spacing w:line="360" w:lineRule="auto"/>
        <w:ind w:firstLine="420" w:firstLineChars="200"/>
        <w:rPr>
          <w:rFonts w:ascii="Times New Roman" w:hAnsi="Times New Roman"/>
          <w:sz w:val="21"/>
        </w:rPr>
      </w:pPr>
      <w:r>
        <w:rPr>
          <w:rFonts w:hint="eastAsia" w:ascii="Times New Roman" w:hAnsi="Times New Roman"/>
          <w:sz w:val="21"/>
        </w:rPr>
        <w:t>13.4 服务在交付甲方前发生的风险均由乙方负责。</w:t>
      </w:r>
    </w:p>
    <w:p w14:paraId="62D0CF7E">
      <w:pPr>
        <w:pStyle w:val="14"/>
        <w:snapToGrid w:val="0"/>
        <w:spacing w:line="360" w:lineRule="auto"/>
        <w:ind w:firstLine="420" w:firstLineChars="200"/>
        <w:rPr>
          <w:rFonts w:ascii="Times New Roman" w:hAnsi="Times New Roman"/>
          <w:sz w:val="21"/>
        </w:rPr>
      </w:pPr>
      <w:r>
        <w:rPr>
          <w:rFonts w:hint="eastAsia" w:ascii="Times New Roman" w:hAnsi="Times New Roman"/>
          <w:sz w:val="21"/>
        </w:rPr>
        <w:t>13.5 服务在规定的交付期限内由乙方送达甲方指定的地点。</w:t>
      </w:r>
    </w:p>
    <w:p w14:paraId="13F37895">
      <w:pPr>
        <w:pStyle w:val="14"/>
        <w:snapToGrid w:val="0"/>
        <w:spacing w:before="120" w:after="120" w:line="360" w:lineRule="auto"/>
        <w:ind w:left="315" w:leftChars="150" w:firstLine="105" w:firstLineChars="50"/>
        <w:rPr>
          <w:rFonts w:ascii="Times New Roman" w:hAnsi="Times New Roman" w:cs="Courier New"/>
          <w:b/>
          <w:bCs/>
          <w:sz w:val="21"/>
        </w:rPr>
      </w:pPr>
      <w:r>
        <w:rPr>
          <w:rFonts w:hint="eastAsia" w:ascii="Times New Roman" w:hAnsi="Times New Roman"/>
          <w:b/>
          <w:bCs/>
          <w:sz w:val="21"/>
        </w:rPr>
        <w:t>14、违约责任</w:t>
      </w:r>
    </w:p>
    <w:p w14:paraId="53AEE6D6">
      <w:pPr>
        <w:pStyle w:val="14"/>
        <w:snapToGrid w:val="0"/>
        <w:spacing w:before="120" w:after="120" w:line="360" w:lineRule="auto"/>
        <w:ind w:firstLine="420" w:firstLineChars="200"/>
        <w:rPr>
          <w:rFonts w:ascii="Times New Roman" w:hAnsi="Times New Roman" w:cs="宋体"/>
          <w:color w:val="000000" w:themeColor="text1"/>
          <w:sz w:val="21"/>
          <w14:textFill>
            <w14:solidFill>
              <w14:schemeClr w14:val="tx1"/>
            </w14:solidFill>
          </w14:textFill>
        </w:rPr>
      </w:pPr>
      <w:r>
        <w:rPr>
          <w:rFonts w:hint="eastAsia" w:ascii="Times New Roman" w:hAnsi="Times New Roman" w:cs="宋体"/>
          <w:color w:val="000000" w:themeColor="text1"/>
          <w:sz w:val="21"/>
          <w14:textFill>
            <w14:solidFill>
              <w14:schemeClr w14:val="tx1"/>
            </w14:solidFill>
          </w14:textFill>
        </w:rPr>
        <w:t>14.1甲方无故逾期办理款项支付手续的,甲方应按逾期付款金额每日万分之五向乙方支付违约金。</w:t>
      </w:r>
    </w:p>
    <w:p w14:paraId="2DCD6F53">
      <w:pPr>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14.2 </w:t>
      </w:r>
      <w:r>
        <w:rPr>
          <w:rFonts w:hint="eastAsia"/>
          <w:color w:val="000000" w:themeColor="text1"/>
          <w14:textFill>
            <w14:solidFill>
              <w14:schemeClr w14:val="tx1"/>
            </w14:solidFill>
          </w14:textFill>
        </w:rPr>
        <w:t>若乙方提供的</w:t>
      </w:r>
      <w:r>
        <w:rPr>
          <w:rFonts w:hint="eastAsia"/>
          <w:color w:val="000000" w:themeColor="text1"/>
          <w:lang w:val="en-US" w:eastAsia="zh-CN"/>
          <w14:textFill>
            <w14:solidFill>
              <w14:schemeClr w14:val="tx1"/>
            </w14:solidFill>
          </w14:textFill>
        </w:rPr>
        <w:t>观影券如</w:t>
      </w:r>
      <w:r>
        <w:rPr>
          <w:rFonts w:hint="eastAsia"/>
          <w:color w:val="000000" w:themeColor="text1"/>
          <w14:textFill>
            <w14:solidFill>
              <w14:schemeClr w14:val="tx1"/>
            </w14:solidFill>
          </w14:textFill>
        </w:rPr>
        <w:t>无法正常使用、兑换，乙方应于两日内负责免费更换或补发，逾期未能更换或补发，按照存在问题提货券金额的三倍向甲方支付违约金；如因此给甲方或甲方职工造成损失的，乙方应承担全部赔偿责任。</w:t>
      </w:r>
    </w:p>
    <w:p w14:paraId="334E6587">
      <w:pPr>
        <w:pStyle w:val="14"/>
        <w:snapToGrid w:val="0"/>
        <w:spacing w:before="120" w:after="120" w:line="360" w:lineRule="auto"/>
        <w:ind w:firstLine="420" w:firstLineChars="200"/>
        <w:rPr>
          <w:rFonts w:ascii="Times New Roman" w:hAnsi="Times New Roman" w:cs="宋体"/>
          <w:sz w:val="21"/>
        </w:rPr>
      </w:pPr>
      <w:r>
        <w:rPr>
          <w:rFonts w:hint="eastAsia" w:ascii="Times New Roman" w:hAnsi="Times New Roman" w:cs="宋体"/>
          <w:sz w:val="21"/>
        </w:rPr>
        <w:t>14.3乙方违约，在消除违约情形前，应按本合同项目总额每日万分之五向甲方支付违约金，甲方可以从待付款项中扣除。</w:t>
      </w:r>
    </w:p>
    <w:p w14:paraId="3613A45F">
      <w:pPr>
        <w:pStyle w:val="14"/>
        <w:snapToGrid w:val="0"/>
        <w:spacing w:before="120" w:after="120" w:line="360" w:lineRule="auto"/>
        <w:ind w:firstLine="420" w:firstLineChars="200"/>
        <w:rPr>
          <w:rFonts w:ascii="Times New Roman" w:hAnsi="Times New Roman" w:cs="宋体"/>
          <w:sz w:val="21"/>
        </w:rPr>
      </w:pPr>
      <w:r>
        <w:rPr>
          <w:rFonts w:hint="eastAsia" w:ascii="Times New Roman" w:hAnsi="Times New Roman" w:cs="宋体"/>
          <w:sz w:val="21"/>
        </w:rPr>
        <w:t>14.4乙方因逾期交付服务项目或因其他违约行为，导致甲方解除合同的，乙方应向甲方支付合同总值5%的违约金，如造成甲方损失超过违约金的，超出部分由乙方继续承担赔偿责任。</w:t>
      </w:r>
    </w:p>
    <w:p w14:paraId="57E217C3">
      <w:pPr>
        <w:pStyle w:val="14"/>
        <w:snapToGrid w:val="0"/>
        <w:spacing w:before="120" w:after="120" w:line="360" w:lineRule="auto"/>
        <w:ind w:firstLine="420" w:firstLineChars="200"/>
        <w:rPr>
          <w:rFonts w:ascii="Times New Roman" w:hAnsi="Times New Roman" w:cs="宋体"/>
          <w:sz w:val="21"/>
        </w:rPr>
      </w:pPr>
      <w:r>
        <w:rPr>
          <w:rFonts w:hint="eastAsia" w:ascii="Times New Roman" w:hAnsi="Times New Roman" w:cs="宋体"/>
          <w:sz w:val="21"/>
        </w:rPr>
        <w:t>14.5 乙方所交的服务项目全部或部分品种、型号、规格、技术参数、质量不符合合同规定及</w:t>
      </w:r>
      <w:r>
        <w:rPr>
          <w:rFonts w:hint="eastAsia" w:ascii="Times New Roman" w:hAnsi="Times New Roman" w:cs="宋体"/>
          <w:sz w:val="21"/>
          <w:lang w:eastAsia="zh-CN"/>
        </w:rPr>
        <w:t>磋商</w:t>
      </w:r>
      <w:r>
        <w:rPr>
          <w:rFonts w:hint="eastAsia" w:ascii="Times New Roman" w:hAnsi="Times New Roman" w:cs="宋体"/>
          <w:sz w:val="21"/>
        </w:rPr>
        <w:t>采购文件规定标准的，乙方更换服务但逾期交付的（甲方拒绝接受的除外），按乙方逾期交付处理；乙方拒绝更换的，甲方可选择解除本合同或本合同的一部分，并可追究乙方的其他违约责任。</w:t>
      </w:r>
    </w:p>
    <w:p w14:paraId="4328496E">
      <w:pPr>
        <w:pStyle w:val="14"/>
        <w:snapToGrid w:val="0"/>
        <w:spacing w:before="120" w:after="120" w:line="360" w:lineRule="auto"/>
        <w:ind w:firstLine="420" w:firstLineChars="200"/>
        <w:rPr>
          <w:rFonts w:ascii="Times New Roman" w:hAnsi="Times New Roman" w:cs="宋体"/>
          <w:sz w:val="21"/>
        </w:rPr>
      </w:pPr>
      <w:r>
        <w:rPr>
          <w:rFonts w:hint="eastAsia" w:ascii="Times New Roman" w:hAnsi="Times New Roman" w:cs="宋体"/>
          <w:sz w:val="21"/>
        </w:rPr>
        <w:t>14.6合同生效后，发现乙方响应属虚假承诺，或经权威部门监测提供的服务不能满足</w:t>
      </w:r>
      <w:r>
        <w:rPr>
          <w:rFonts w:hint="eastAsia" w:ascii="Times New Roman" w:hAnsi="Times New Roman" w:cs="宋体"/>
          <w:sz w:val="21"/>
          <w:lang w:eastAsia="zh-CN"/>
        </w:rPr>
        <w:t>磋商</w:t>
      </w:r>
      <w:r>
        <w:rPr>
          <w:rFonts w:hint="eastAsia" w:ascii="Times New Roman" w:hAnsi="Times New Roman" w:cs="宋体"/>
          <w:sz w:val="21"/>
        </w:rPr>
        <w:t>采购文件要求，造成合同无法继续履行的，还应向甲方支付不少于合同总价</w:t>
      </w:r>
      <w:r>
        <w:rPr>
          <w:rFonts w:hint="eastAsia" w:ascii="Times New Roman" w:hAnsi="Times New Roman" w:cs="宋体"/>
          <w:sz w:val="21"/>
          <w:u w:val="single"/>
        </w:rPr>
        <w:t xml:space="preserve"> 10 </w:t>
      </w:r>
      <w:r>
        <w:rPr>
          <w:rFonts w:hint="eastAsia" w:ascii="Times New Roman" w:hAnsi="Times New Roman" w:cs="宋体"/>
          <w:sz w:val="21"/>
        </w:rPr>
        <w:t>%赔偿金。</w:t>
      </w:r>
    </w:p>
    <w:p w14:paraId="109E1A64">
      <w:pPr>
        <w:pStyle w:val="14"/>
        <w:snapToGrid w:val="0"/>
        <w:spacing w:before="120" w:after="120" w:line="360" w:lineRule="auto"/>
        <w:ind w:firstLine="422" w:firstLineChars="200"/>
        <w:rPr>
          <w:rFonts w:ascii="Times New Roman" w:hAnsi="Times New Roman" w:cs="Courier New"/>
          <w:b/>
          <w:bCs/>
          <w:sz w:val="21"/>
        </w:rPr>
      </w:pPr>
      <w:r>
        <w:rPr>
          <w:rFonts w:hint="eastAsia" w:ascii="Times New Roman" w:hAnsi="Times New Roman"/>
          <w:b/>
          <w:bCs/>
          <w:sz w:val="21"/>
        </w:rPr>
        <w:t>15、不可抗力事件处理</w:t>
      </w:r>
    </w:p>
    <w:p w14:paraId="141E3442">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15.1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1E4BFD9B">
      <w:pPr>
        <w:pStyle w:val="14"/>
        <w:snapToGrid w:val="0"/>
        <w:spacing w:before="120" w:after="120" w:line="360" w:lineRule="auto"/>
        <w:ind w:firstLine="420" w:firstLineChars="200"/>
        <w:rPr>
          <w:rFonts w:ascii="Times New Roman" w:hAnsi="Times New Roman"/>
          <w:color w:val="FF0000"/>
          <w:sz w:val="21"/>
        </w:rPr>
      </w:pPr>
      <w:r>
        <w:rPr>
          <w:rFonts w:hint="eastAsia" w:ascii="Times New Roman" w:hAnsi="Times New Roman"/>
          <w:sz w:val="21"/>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w:t>
      </w:r>
      <w:r>
        <w:rPr>
          <w:rFonts w:hint="eastAsia" w:ascii="Times New Roman" w:hAnsi="Times New Roman"/>
          <w:color w:val="000000" w:themeColor="text1"/>
          <w:sz w:val="21"/>
          <w:lang w:val="en-US" w:eastAsia="zh-CN"/>
          <w14:textFill>
            <w14:solidFill>
              <w14:schemeClr w14:val="tx1"/>
            </w14:solidFill>
          </w14:textFill>
        </w:rPr>
        <w:t>甲方有权解除</w:t>
      </w:r>
      <w:r>
        <w:rPr>
          <w:rFonts w:hint="eastAsia" w:ascii="Times New Roman" w:hAnsi="Times New Roman"/>
          <w:color w:val="000000" w:themeColor="text1"/>
          <w:sz w:val="21"/>
          <w14:textFill>
            <w14:solidFill>
              <w14:schemeClr w14:val="tx1"/>
            </w14:solidFill>
          </w14:textFill>
        </w:rPr>
        <w:t>合同。</w:t>
      </w:r>
    </w:p>
    <w:p w14:paraId="7A0A0179">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16、争议解决</w:t>
      </w:r>
    </w:p>
    <w:p w14:paraId="4FCF2A7D">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16.1 因服务的品质质量问题发生争议的，可在国家认可的质量检测机构对服务内容质量进行鉴定。服务符合标准的，鉴定费由甲方承担；服务项目不符合质量标准的，鉴定费由乙方承担。</w:t>
      </w:r>
    </w:p>
    <w:p w14:paraId="311DF44C">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16.2 因履行本合同引起的或与本合同有关的争议，甲、乙双方应首先通过友好协商解决；如果协商不能解决争议，甲乙双方同意采取下列两种方式的第</w:t>
      </w:r>
      <w:r>
        <w:rPr>
          <w:rFonts w:hint="eastAsia" w:ascii="Times New Roman" w:hAnsi="Times New Roman"/>
          <w:color w:val="FF0000"/>
          <w:sz w:val="21"/>
          <w:u w:val="single"/>
          <w:lang w:val="en-US" w:eastAsia="zh-CN"/>
        </w:rPr>
        <w:t>1</w:t>
      </w:r>
      <w:r>
        <w:rPr>
          <w:rFonts w:hint="eastAsia" w:ascii="Times New Roman" w:hAnsi="Times New Roman"/>
          <w:sz w:val="21"/>
        </w:rPr>
        <w:t>种方式解决争议。</w:t>
      </w:r>
    </w:p>
    <w:p w14:paraId="417DAA7A">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（1）向甲方所在地有管辖权的人民法院提起诉讼，适用中华人民共和国法律；</w:t>
      </w:r>
    </w:p>
    <w:p w14:paraId="518AED76">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（2）向扬州仲裁委员会按其仲裁规则申请仲裁。</w:t>
      </w:r>
    </w:p>
    <w:p w14:paraId="37611C30">
      <w:pPr>
        <w:pStyle w:val="14"/>
        <w:snapToGrid w:val="0"/>
        <w:spacing w:before="120" w:after="120" w:line="360" w:lineRule="auto"/>
        <w:ind w:firstLine="420" w:firstLineChars="200"/>
        <w:rPr>
          <w:rFonts w:hint="eastAsia" w:ascii="Times New Roman" w:hAnsi="Times New Roman"/>
          <w:sz w:val="21"/>
        </w:rPr>
      </w:pPr>
      <w:r>
        <w:rPr>
          <w:rFonts w:hint="eastAsia" w:ascii="Times New Roman" w:hAnsi="Times New Roman"/>
          <w:sz w:val="21"/>
        </w:rPr>
        <w:t>16.3 若甲乙双方任何一方都没有选择解除合同的，为避免扩大损失，在诉讼或仲裁期间，双方应继续履行。</w:t>
      </w:r>
    </w:p>
    <w:p w14:paraId="64D69593">
      <w:pPr>
        <w:pStyle w:val="14"/>
        <w:spacing w:before="120" w:after="120" w:line="360" w:lineRule="auto"/>
        <w:ind w:firstLine="420" w:firstLineChars="200"/>
        <w:rPr>
          <w:rFonts w:hint="eastAsia" w:ascii="Times New Roman" w:hAnsi="Times New Roman"/>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16.4守约方为维护权益所产生的费用由违约方承担，该费用包括但不限于差旅费、律师费、公证费、鉴定费、保全费和诉讼费。</w:t>
      </w:r>
    </w:p>
    <w:p w14:paraId="0C108A23">
      <w:pPr>
        <w:pStyle w:val="14"/>
        <w:snapToGrid w:val="0"/>
        <w:spacing w:before="120" w:after="120" w:line="360" w:lineRule="auto"/>
        <w:ind w:left="315" w:leftChars="150" w:firstLine="105" w:firstLineChars="50"/>
        <w:rPr>
          <w:rFonts w:ascii="Times New Roman" w:hAnsi="Times New Roman"/>
          <w:b/>
          <w:bCs/>
          <w:sz w:val="21"/>
        </w:rPr>
      </w:pPr>
      <w:r>
        <w:rPr>
          <w:rFonts w:hint="eastAsia" w:ascii="Times New Roman" w:hAnsi="Times New Roman"/>
          <w:b/>
          <w:bCs/>
          <w:sz w:val="21"/>
        </w:rPr>
        <w:t>17、合同其它</w:t>
      </w:r>
    </w:p>
    <w:p w14:paraId="38662311">
      <w:pPr>
        <w:pStyle w:val="14"/>
        <w:snapToGrid w:val="0"/>
        <w:spacing w:before="120" w:after="120" w:line="360" w:lineRule="auto"/>
        <w:ind w:firstLine="420" w:firstLineChars="200"/>
        <w:rPr>
          <w:rFonts w:ascii="Times New Roman" w:hAnsi="Times New Roman"/>
          <w:sz w:val="21"/>
        </w:rPr>
      </w:pPr>
      <w:r>
        <w:rPr>
          <w:rFonts w:hint="eastAsia" w:ascii="Times New Roman" w:hAnsi="Times New Roman"/>
          <w:sz w:val="21"/>
        </w:rPr>
        <w:t>17.1 乙方应诚实信用，严格按照</w:t>
      </w:r>
      <w:r>
        <w:rPr>
          <w:rFonts w:hint="eastAsia" w:ascii="Times New Roman" w:hAnsi="Times New Roman"/>
          <w:sz w:val="21"/>
          <w:lang w:eastAsia="zh-CN"/>
        </w:rPr>
        <w:t>磋商</w:t>
      </w:r>
      <w:r>
        <w:rPr>
          <w:rFonts w:hint="eastAsia" w:ascii="Times New Roman" w:hAnsi="Times New Roman"/>
          <w:sz w:val="21"/>
        </w:rPr>
        <w:t>采购文件要求和响应承诺履行合同，不向甲方进行商业贿赂或者提供不正当利益。</w:t>
      </w:r>
    </w:p>
    <w:p w14:paraId="14E3B078">
      <w:pPr>
        <w:pStyle w:val="14"/>
        <w:snapToGrid w:val="0"/>
        <w:spacing w:before="120" w:after="120" w:line="360" w:lineRule="auto"/>
        <w:ind w:firstLine="420" w:firstLineChars="200"/>
        <w:rPr>
          <w:rFonts w:ascii="Times New Roman" w:hAnsi="Times New Roman"/>
          <w:sz w:val="21"/>
          <w:u w:val="single"/>
        </w:rPr>
      </w:pPr>
      <w:r>
        <w:rPr>
          <w:rFonts w:hint="eastAsia" w:ascii="Times New Roman" w:hAnsi="Times New Roman"/>
          <w:sz w:val="21"/>
        </w:rPr>
        <w:t>17.2 合同经双方法定代表人或授权代表签字并加盖单位公章后生效。</w:t>
      </w:r>
    </w:p>
    <w:p w14:paraId="0B033369">
      <w:pPr>
        <w:pStyle w:val="14"/>
        <w:snapToGrid w:val="0"/>
        <w:spacing w:before="120" w:after="120" w:line="360" w:lineRule="auto"/>
        <w:ind w:firstLine="420" w:firstLineChars="200"/>
        <w:rPr>
          <w:rFonts w:ascii="Times New Roman" w:hAnsi="Times New Roman"/>
          <w:sz w:val="21"/>
          <w:u w:val="single"/>
        </w:rPr>
      </w:pPr>
      <w:r>
        <w:rPr>
          <w:rFonts w:hint="eastAsia" w:ascii="Times New Roman" w:hAnsi="Times New Roman"/>
          <w:sz w:val="21"/>
        </w:rPr>
        <w:t>17.3本合同未尽事宜，遵照《中华人民共和国民法典》有关条文执行。</w:t>
      </w:r>
    </w:p>
    <w:p w14:paraId="3E374348">
      <w:pPr>
        <w:pStyle w:val="14"/>
        <w:snapToGrid w:val="0"/>
        <w:spacing w:before="120" w:after="120" w:line="360" w:lineRule="auto"/>
        <w:ind w:firstLine="420" w:firstLineChars="200"/>
        <w:rPr>
          <w:rFonts w:hint="eastAsia" w:ascii="Times New Roman" w:hAnsi="Times New Roman" w:cs="宋体"/>
          <w:sz w:val="21"/>
        </w:rPr>
      </w:pPr>
      <w:r>
        <w:rPr>
          <w:rFonts w:hint="eastAsia" w:ascii="Times New Roman" w:hAnsi="Times New Roman"/>
          <w:sz w:val="21"/>
        </w:rPr>
        <w:t xml:space="preserve">17.4 </w:t>
      </w:r>
      <w:r>
        <w:rPr>
          <w:rFonts w:hint="eastAsia" w:ascii="Times New Roman" w:hAnsi="Times New Roman" w:cs="宋体"/>
          <w:sz w:val="21"/>
        </w:rPr>
        <w:t>本合同正本一式</w:t>
      </w:r>
      <w:r>
        <w:rPr>
          <w:rFonts w:hint="eastAsia" w:ascii="Times New Roman" w:hAnsi="Times New Roman" w:cs="宋体"/>
          <w:sz w:val="21"/>
          <w:lang w:eastAsia="zh-CN"/>
        </w:rPr>
        <w:t>肆</w:t>
      </w:r>
      <w:r>
        <w:rPr>
          <w:rFonts w:hint="eastAsia" w:ascii="Times New Roman" w:hAnsi="Times New Roman" w:cs="宋体"/>
          <w:sz w:val="21"/>
        </w:rPr>
        <w:t>份，具有同等法律效力，甲方、乙方各执</w:t>
      </w:r>
      <w:r>
        <w:rPr>
          <w:rFonts w:hint="eastAsia" w:ascii="Times New Roman" w:hAnsi="Times New Roman" w:cs="宋体"/>
          <w:sz w:val="21"/>
          <w:lang w:eastAsia="zh-CN"/>
        </w:rPr>
        <w:t>贰</w:t>
      </w:r>
      <w:r>
        <w:rPr>
          <w:rFonts w:hint="eastAsia" w:ascii="Times New Roman" w:hAnsi="Times New Roman" w:cs="宋体"/>
          <w:sz w:val="21"/>
        </w:rPr>
        <w:t>份。</w:t>
      </w:r>
    </w:p>
    <w:p w14:paraId="3B370BDE">
      <w:pPr>
        <w:pStyle w:val="14"/>
        <w:snapToGrid w:val="0"/>
        <w:spacing w:before="120" w:after="120" w:line="360" w:lineRule="auto"/>
        <w:ind w:firstLine="420" w:firstLineChars="200"/>
        <w:rPr>
          <w:rFonts w:hint="eastAsia" w:ascii="Times New Roman" w:hAnsi="Times New Roman" w:cs="宋体"/>
          <w:sz w:val="21"/>
        </w:rPr>
      </w:pPr>
    </w:p>
    <w:p w14:paraId="7CE322D6">
      <w:pPr>
        <w:pStyle w:val="14"/>
        <w:snapToGrid w:val="0"/>
        <w:spacing w:before="120" w:after="120" w:line="360" w:lineRule="auto"/>
        <w:ind w:left="420" w:leftChars="100" w:hanging="210" w:hangingChars="100"/>
        <w:rPr>
          <w:rFonts w:ascii="Times New Roman" w:hAnsi="Times New Roman"/>
          <w:sz w:val="21"/>
        </w:rPr>
      </w:pPr>
      <w:r>
        <w:rPr>
          <w:rFonts w:hint="eastAsia" w:ascii="Times New Roman" w:hAnsi="Times New Roman"/>
          <w:sz w:val="21"/>
        </w:rPr>
        <w:t>甲方：</w:t>
      </w:r>
      <w:r>
        <w:rPr>
          <w:rFonts w:hint="eastAsia" w:ascii="Times New Roman" w:hAnsi="Times New Roman"/>
          <w:sz w:val="21"/>
          <w:lang w:val="en-US" w:eastAsia="zh-CN"/>
        </w:rPr>
        <w:t xml:space="preserve">                            </w:t>
      </w:r>
      <w:r>
        <w:rPr>
          <w:rFonts w:hint="eastAsia" w:ascii="Times New Roman" w:hAnsi="Times New Roman"/>
          <w:sz w:val="21"/>
        </w:rPr>
        <w:tab/>
      </w:r>
      <w:r>
        <w:rPr>
          <w:rFonts w:hint="eastAsia" w:ascii="Times New Roman" w:hAnsi="Times New Roman"/>
          <w:sz w:val="21"/>
        </w:rPr>
        <w:t xml:space="preserve">  </w:t>
      </w:r>
      <w:r>
        <w:rPr>
          <w:rFonts w:hint="eastAsia" w:ascii="Times New Roman" w:hAnsi="Times New Roman"/>
          <w:sz w:val="21"/>
          <w:lang w:val="en-US" w:eastAsia="zh-CN"/>
        </w:rPr>
        <w:t xml:space="preserve">        </w:t>
      </w:r>
      <w:r>
        <w:rPr>
          <w:rFonts w:hint="eastAsia" w:ascii="Times New Roman" w:hAnsi="Times New Roman"/>
          <w:sz w:val="21"/>
        </w:rPr>
        <w:t xml:space="preserve"> 乙方： </w:t>
      </w:r>
    </w:p>
    <w:p w14:paraId="18248144">
      <w:pPr>
        <w:pStyle w:val="14"/>
        <w:snapToGrid w:val="0"/>
        <w:spacing w:before="120" w:after="120" w:line="360" w:lineRule="auto"/>
        <w:rPr>
          <w:rFonts w:ascii="Times New Roman" w:hAnsi="Times New Roman"/>
          <w:sz w:val="21"/>
        </w:rPr>
      </w:pPr>
      <w:r>
        <w:rPr>
          <w:rFonts w:hint="eastAsia" w:ascii="Times New Roman" w:hAnsi="Times New Roman"/>
          <w:sz w:val="21"/>
        </w:rPr>
        <w:t xml:space="preserve">  地址：</w:t>
      </w:r>
      <w:r>
        <w:rPr>
          <w:rFonts w:hint="eastAsia" w:ascii="Times New Roman" w:hAnsi="Times New Roman"/>
          <w:sz w:val="21"/>
        </w:rPr>
        <w:tab/>
      </w:r>
      <w:r>
        <w:rPr>
          <w:rFonts w:hint="eastAsia" w:ascii="Times New Roman" w:hAnsi="Times New Roman"/>
          <w:sz w:val="21"/>
        </w:rPr>
        <w:tab/>
      </w:r>
      <w:r>
        <w:rPr>
          <w:rFonts w:hint="eastAsia" w:ascii="Times New Roman" w:hAnsi="Times New Roman"/>
          <w:sz w:val="21"/>
        </w:rPr>
        <w:tab/>
      </w:r>
      <w:r>
        <w:rPr>
          <w:rFonts w:ascii="Times New Roman" w:hAnsi="Times New Roman"/>
          <w:sz w:val="21"/>
        </w:rPr>
        <w:t xml:space="preserve">                     </w:t>
      </w:r>
      <w:r>
        <w:rPr>
          <w:rFonts w:hint="eastAsia" w:ascii="Times New Roman" w:hAnsi="Times New Roman"/>
          <w:sz w:val="21"/>
        </w:rPr>
        <w:tab/>
      </w:r>
      <w:r>
        <w:rPr>
          <w:rFonts w:ascii="Times New Roman" w:hAnsi="Times New Roman"/>
          <w:sz w:val="21"/>
        </w:rPr>
        <w:t xml:space="preserve">       </w:t>
      </w:r>
      <w:r>
        <w:rPr>
          <w:rFonts w:hint="eastAsia" w:ascii="Times New Roman" w:hAnsi="Times New Roman"/>
          <w:sz w:val="21"/>
        </w:rPr>
        <w:t xml:space="preserve">地址： </w:t>
      </w:r>
    </w:p>
    <w:p w14:paraId="7FEA4678">
      <w:pPr>
        <w:pStyle w:val="14"/>
        <w:snapToGrid w:val="0"/>
        <w:spacing w:before="120" w:after="120" w:line="360" w:lineRule="auto"/>
        <w:rPr>
          <w:rFonts w:ascii="Times New Roman" w:hAnsi="Times New Roman"/>
          <w:sz w:val="21"/>
        </w:rPr>
      </w:pPr>
      <w:r>
        <w:rPr>
          <w:rFonts w:hint="eastAsia" w:ascii="Times New Roman" w:hAnsi="Times New Roman"/>
          <w:sz w:val="21"/>
        </w:rPr>
        <w:t xml:space="preserve">  法定代表人或授权代表：                  </w:t>
      </w:r>
      <w:r>
        <w:rPr>
          <w:rFonts w:ascii="Times New Roman" w:hAnsi="Times New Roman"/>
          <w:sz w:val="21"/>
        </w:rPr>
        <w:t xml:space="preserve">        </w:t>
      </w:r>
      <w:r>
        <w:rPr>
          <w:rFonts w:hint="eastAsia" w:ascii="Times New Roman" w:hAnsi="Times New Roman"/>
          <w:sz w:val="21"/>
        </w:rPr>
        <w:t xml:space="preserve"> 法定代表人或授权代表：</w:t>
      </w:r>
    </w:p>
    <w:p w14:paraId="738FDC03">
      <w:pPr>
        <w:pStyle w:val="14"/>
        <w:snapToGrid w:val="0"/>
        <w:spacing w:before="120" w:after="120" w:line="360" w:lineRule="auto"/>
        <w:rPr>
          <w:rFonts w:ascii="Times New Roman" w:hAnsi="Times New Roman"/>
          <w:sz w:val="21"/>
        </w:rPr>
      </w:pPr>
      <w:r>
        <w:rPr>
          <w:rFonts w:hint="eastAsia" w:ascii="Times New Roman" w:hAnsi="Times New Roman"/>
          <w:sz w:val="21"/>
        </w:rPr>
        <w:t xml:space="preserve">  联系电话：                               </w:t>
      </w:r>
      <w:r>
        <w:rPr>
          <w:rFonts w:ascii="Times New Roman" w:hAnsi="Times New Roman"/>
          <w:sz w:val="21"/>
        </w:rPr>
        <w:t xml:space="preserve">        </w:t>
      </w:r>
      <w:r>
        <w:rPr>
          <w:rFonts w:hint="eastAsia" w:ascii="Times New Roman" w:hAnsi="Times New Roman"/>
          <w:sz w:val="21"/>
        </w:rPr>
        <w:t>联系电话：</w:t>
      </w:r>
    </w:p>
    <w:p w14:paraId="34983C5D">
      <w:pPr>
        <w:spacing w:line="360" w:lineRule="auto"/>
        <w:ind w:firstLine="210" w:firstLineChars="100"/>
        <w:rPr>
          <w:rFonts w:hAnsi="宋体"/>
          <w:color w:val="auto"/>
          <w:highlight w:val="none"/>
        </w:rPr>
      </w:pPr>
      <w:r>
        <w:rPr>
          <w:rFonts w:hint="eastAsia"/>
        </w:rPr>
        <w:t xml:space="preserve">日期：      年    月    日              </w:t>
      </w:r>
      <w:r>
        <w:t xml:space="preserve">        </w:t>
      </w:r>
      <w:r>
        <w:rPr>
          <w:rFonts w:hint="eastAsia"/>
        </w:rPr>
        <w:t xml:space="preserve"> 日期：      年    月    日</w:t>
      </w:r>
    </w:p>
    <w:p w14:paraId="3C7DFC31">
      <w:pPr>
        <w:spacing w:line="360" w:lineRule="auto"/>
        <w:rPr>
          <w:rFonts w:hAnsi="宋体"/>
          <w:color w:val="auto"/>
          <w:highlight w:val="none"/>
        </w:rPr>
      </w:pPr>
    </w:p>
    <w:p w14:paraId="4FEFA35F">
      <w:pPr>
        <w:spacing w:line="360" w:lineRule="auto"/>
        <w:rPr>
          <w:color w:val="auto"/>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77D259B2">
      <w:pPr>
        <w:pStyle w:val="2"/>
        <w:spacing w:before="0" w:after="0" w:line="360" w:lineRule="auto"/>
        <w:jc w:val="center"/>
        <w:rPr>
          <w:rFonts w:ascii="宋体"/>
          <w:color w:val="auto"/>
          <w:sz w:val="36"/>
          <w:highlight w:val="none"/>
        </w:rPr>
      </w:pPr>
      <w:bookmarkStart w:id="120" w:name="_Toc497145842"/>
      <w:r>
        <w:rPr>
          <w:rFonts w:hint="eastAsia" w:ascii="宋体" w:hAnsi="宋体"/>
          <w:color w:val="auto"/>
          <w:sz w:val="36"/>
          <w:highlight w:val="none"/>
        </w:rPr>
        <w:t>第四章项目需求</w:t>
      </w:r>
      <w:bookmarkEnd w:id="120"/>
      <w:bookmarkStart w:id="121" w:name="_Toc497145843"/>
    </w:p>
    <w:p w14:paraId="58C611B6">
      <w:pPr>
        <w:spacing w:line="360" w:lineRule="auto"/>
        <w:ind w:firstLine="422" w:firstLineChars="200"/>
        <w:rPr>
          <w:rStyle w:val="31"/>
          <w:rFonts w:hint="eastAsia" w:ascii="宋体" w:hAnsi="宋体" w:eastAsia="宋体" w:cs="宋体"/>
          <w:b/>
          <w:bCs/>
          <w:i w:val="0"/>
          <w:iCs w:val="0"/>
          <w:caps w:val="0"/>
          <w:color w:val="000000"/>
          <w:spacing w:val="0"/>
          <w:sz w:val="21"/>
          <w:szCs w:val="21"/>
          <w:lang w:val="en-US" w:eastAsia="zh-CN"/>
        </w:rPr>
      </w:pPr>
      <w:r>
        <w:rPr>
          <w:rStyle w:val="31"/>
          <w:rFonts w:hint="eastAsia" w:ascii="宋体" w:hAnsi="宋体" w:cs="宋体"/>
          <w:b/>
          <w:bCs/>
          <w:i w:val="0"/>
          <w:iCs w:val="0"/>
          <w:caps w:val="0"/>
          <w:color w:val="000000"/>
          <w:spacing w:val="0"/>
          <w:sz w:val="21"/>
          <w:szCs w:val="21"/>
          <w:lang w:val="en-US" w:eastAsia="zh-CN"/>
        </w:rPr>
        <w:t>项目概述：</w:t>
      </w:r>
      <w:r>
        <w:rPr>
          <w:rFonts w:hint="eastAsia" w:ascii="宋体" w:hAnsi="宋体" w:cs="宋体"/>
          <w:color w:val="auto"/>
          <w:szCs w:val="21"/>
          <w:highlight w:val="none"/>
        </w:rPr>
        <w:t>我中心工会委员会拟为</w:t>
      </w:r>
      <w:r>
        <w:rPr>
          <w:rFonts w:hint="eastAsia" w:ascii="宋体" w:hAnsi="宋体" w:cs="宋体"/>
          <w:color w:val="auto"/>
          <w:szCs w:val="21"/>
          <w:highlight w:val="none"/>
          <w:lang w:val="en-US" w:eastAsia="zh-CN"/>
        </w:rPr>
        <w:t>296</w:t>
      </w:r>
      <w:r>
        <w:rPr>
          <w:rFonts w:hint="eastAsia" w:ascii="宋体" w:hAnsi="宋体" w:cs="宋体"/>
          <w:color w:val="auto"/>
          <w:szCs w:val="21"/>
          <w:highlight w:val="none"/>
        </w:rPr>
        <w:t>名会员以</w:t>
      </w:r>
      <w:r>
        <w:rPr>
          <w:rFonts w:hint="eastAsia" w:ascii="宋体" w:hAnsi="宋体" w:cs="宋体"/>
          <w:color w:val="auto"/>
          <w:szCs w:val="21"/>
          <w:highlight w:val="none"/>
          <w:lang w:val="en-US" w:eastAsia="zh-CN"/>
        </w:rPr>
        <w:t>预算价</w:t>
      </w:r>
      <w:r>
        <w:rPr>
          <w:rFonts w:hint="eastAsia" w:ascii="宋体" w:hAnsi="宋体" w:cs="宋体"/>
          <w:color w:val="auto"/>
          <w:szCs w:val="21"/>
          <w:highlight w:val="none"/>
        </w:rPr>
        <w:t>200元/人的标准发放5张/人电影观影券，项目预算</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价</w:t>
      </w:r>
      <w:r>
        <w:rPr>
          <w:rFonts w:hint="eastAsia" w:ascii="宋体" w:hAnsi="宋体" w:cs="宋体"/>
          <w:color w:val="auto"/>
          <w:szCs w:val="21"/>
          <w:highlight w:val="none"/>
          <w:lang w:val="en-US" w:eastAsia="zh-CN"/>
        </w:rPr>
        <w:t>5.92</w:t>
      </w:r>
      <w:r>
        <w:rPr>
          <w:rFonts w:hint="eastAsia" w:ascii="宋体" w:hAnsi="宋体" w:cs="宋体"/>
          <w:color w:val="auto"/>
          <w:szCs w:val="21"/>
          <w:highlight w:val="none"/>
        </w:rPr>
        <w:t xml:space="preserve">万元人民币，最高限价同预算价，报价超过最高限价的视为无效投标文件 </w:t>
      </w:r>
      <w:r>
        <w:rPr>
          <w:rFonts w:hint="eastAsia" w:ascii="宋体" w:hAnsi="宋体" w:cs="宋体"/>
          <w:color w:val="auto"/>
          <w:szCs w:val="21"/>
          <w:highlight w:val="none"/>
          <w:lang w:eastAsia="zh-CN"/>
        </w:rPr>
        <w:t>。</w:t>
      </w:r>
    </w:p>
    <w:p w14:paraId="7EC99AA3">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sz w:val="21"/>
          <w:szCs w:val="21"/>
        </w:rPr>
      </w:pPr>
      <w:r>
        <w:rPr>
          <w:rStyle w:val="31"/>
          <w:rFonts w:hint="eastAsia" w:ascii="宋体" w:hAnsi="宋体" w:eastAsia="宋体" w:cs="宋体"/>
          <w:b/>
          <w:bCs/>
          <w:i w:val="0"/>
          <w:iCs w:val="0"/>
          <w:caps w:val="0"/>
          <w:color w:val="000000"/>
          <w:spacing w:val="0"/>
          <w:sz w:val="21"/>
          <w:szCs w:val="21"/>
        </w:rPr>
        <w:t>一、服务要求：</w:t>
      </w:r>
    </w:p>
    <w:p w14:paraId="7A2DCDA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i/>
          <w:iCs/>
          <w:sz w:val="21"/>
          <w:szCs w:val="21"/>
          <w:u w:val="single"/>
        </w:rPr>
      </w:pPr>
      <w:r>
        <w:rPr>
          <w:rFonts w:hint="eastAsia" w:ascii="宋体" w:hAnsi="宋体" w:eastAsia="宋体" w:cs="宋体"/>
          <w:b w:val="0"/>
          <w:bCs w:val="0"/>
          <w:i/>
          <w:iCs/>
          <w:caps w:val="0"/>
          <w:color w:val="000000"/>
          <w:spacing w:val="0"/>
          <w:sz w:val="21"/>
          <w:szCs w:val="21"/>
          <w:u w:val="single"/>
          <w:shd w:val="clear" w:fill="FFFFFF"/>
        </w:rPr>
        <w:t>1.支持线上平台、公众号、小程序、APP客户端等线上选座和前台选座</w:t>
      </w:r>
      <w:r>
        <w:rPr>
          <w:rFonts w:hint="eastAsia" w:ascii="宋体" w:hAnsi="宋体" w:eastAsia="宋体" w:cs="宋体"/>
          <w:b/>
          <w:bCs/>
          <w:i/>
          <w:iCs/>
          <w:caps w:val="0"/>
          <w:color w:val="000000"/>
          <w:spacing w:val="0"/>
          <w:sz w:val="21"/>
          <w:szCs w:val="21"/>
          <w:u w:val="single"/>
          <w:shd w:val="clear" w:fill="FFFFFF"/>
        </w:rPr>
        <w:t>（提供承诺函并盖章）</w:t>
      </w:r>
      <w:r>
        <w:rPr>
          <w:rFonts w:hint="eastAsia" w:ascii="宋体" w:hAnsi="宋体" w:eastAsia="宋体" w:cs="宋体"/>
          <w:b w:val="0"/>
          <w:bCs w:val="0"/>
          <w:i/>
          <w:iCs/>
          <w:caps w:val="0"/>
          <w:color w:val="000000"/>
          <w:spacing w:val="0"/>
          <w:sz w:val="21"/>
          <w:szCs w:val="21"/>
          <w:u w:val="single"/>
          <w:shd w:val="clear" w:fill="FFFFFF"/>
        </w:rPr>
        <w:t>。</w:t>
      </w:r>
    </w:p>
    <w:p w14:paraId="71FB45B5">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i/>
          <w:iCs/>
          <w:sz w:val="21"/>
          <w:szCs w:val="21"/>
          <w:u w:val="single"/>
        </w:rPr>
      </w:pPr>
      <w:r>
        <w:rPr>
          <w:rFonts w:hint="eastAsia" w:ascii="宋体" w:hAnsi="宋体" w:eastAsia="宋体" w:cs="宋体"/>
          <w:b w:val="0"/>
          <w:bCs w:val="0"/>
          <w:i/>
          <w:iCs/>
          <w:caps w:val="0"/>
          <w:color w:val="000000"/>
          <w:spacing w:val="0"/>
          <w:sz w:val="21"/>
          <w:szCs w:val="21"/>
          <w:u w:val="single"/>
          <w:shd w:val="clear" w:fill="FFFFFF"/>
        </w:rPr>
        <w:t>2.捆绑卡程序需简易，不复杂，不得收取任何平台服务费</w:t>
      </w:r>
      <w:r>
        <w:rPr>
          <w:rFonts w:hint="eastAsia" w:ascii="宋体" w:hAnsi="宋体" w:eastAsia="宋体" w:cs="宋体"/>
          <w:b/>
          <w:bCs/>
          <w:i/>
          <w:iCs/>
          <w:caps w:val="0"/>
          <w:color w:val="000000"/>
          <w:spacing w:val="0"/>
          <w:sz w:val="21"/>
          <w:szCs w:val="21"/>
          <w:u w:val="single"/>
          <w:shd w:val="clear" w:fill="FFFFFF"/>
        </w:rPr>
        <w:t>（提供承诺函并盖章）</w:t>
      </w:r>
      <w:r>
        <w:rPr>
          <w:rFonts w:hint="eastAsia" w:ascii="宋体" w:hAnsi="宋体" w:eastAsia="宋体" w:cs="宋体"/>
          <w:b w:val="0"/>
          <w:bCs w:val="0"/>
          <w:i/>
          <w:iCs/>
          <w:caps w:val="0"/>
          <w:color w:val="000000"/>
          <w:spacing w:val="0"/>
          <w:sz w:val="21"/>
          <w:szCs w:val="21"/>
          <w:u w:val="single"/>
          <w:shd w:val="clear" w:fill="FFFFFF"/>
        </w:rPr>
        <w:t>。</w:t>
      </w:r>
    </w:p>
    <w:p w14:paraId="7F4172E6">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b/>
          <w:bCs/>
          <w:i/>
          <w:iCs/>
          <w:sz w:val="21"/>
          <w:szCs w:val="21"/>
          <w:u w:val="single"/>
        </w:rPr>
      </w:pPr>
      <w:r>
        <w:rPr>
          <w:rFonts w:hint="eastAsia" w:ascii="宋体" w:hAnsi="宋体" w:eastAsia="宋体" w:cs="宋体"/>
          <w:b w:val="0"/>
          <w:bCs w:val="0"/>
          <w:i/>
          <w:iCs/>
          <w:caps w:val="0"/>
          <w:color w:val="000000"/>
          <w:spacing w:val="0"/>
          <w:sz w:val="21"/>
          <w:szCs w:val="21"/>
          <w:u w:val="single"/>
          <w:shd w:val="clear" w:fill="FFFFFF"/>
        </w:rPr>
        <w:t>3.电影票兑换有效期（自职工收到之日起）≥1年，</w:t>
      </w:r>
      <w:r>
        <w:rPr>
          <w:rFonts w:hint="eastAsia" w:ascii="宋体" w:hAnsi="宋体" w:eastAsia="宋体" w:cs="宋体"/>
          <w:b w:val="0"/>
          <w:bCs w:val="0"/>
          <w:i/>
          <w:iCs/>
          <w:caps w:val="0"/>
          <w:color w:val="000000"/>
          <w:spacing w:val="0"/>
          <w:sz w:val="21"/>
          <w:szCs w:val="21"/>
          <w:highlight w:val="none"/>
          <w:u w:val="single"/>
          <w:shd w:val="clear" w:fill="FFFFFF"/>
        </w:rPr>
        <w:t>到期免费延期≥半年</w:t>
      </w:r>
      <w:r>
        <w:rPr>
          <w:rFonts w:hint="eastAsia" w:ascii="宋体" w:hAnsi="宋体" w:eastAsia="宋体" w:cs="宋体"/>
          <w:b/>
          <w:bCs/>
          <w:i/>
          <w:iCs/>
          <w:caps w:val="0"/>
          <w:color w:val="000000"/>
          <w:spacing w:val="0"/>
          <w:sz w:val="21"/>
          <w:szCs w:val="21"/>
          <w:highlight w:val="none"/>
          <w:u w:val="single"/>
          <w:shd w:val="clear" w:fill="FFFFFF"/>
        </w:rPr>
        <w:t>（</w:t>
      </w:r>
      <w:r>
        <w:rPr>
          <w:rFonts w:hint="eastAsia" w:ascii="宋体" w:hAnsi="宋体" w:eastAsia="宋体" w:cs="宋体"/>
          <w:b/>
          <w:bCs/>
          <w:i/>
          <w:iCs/>
          <w:caps w:val="0"/>
          <w:color w:val="000000"/>
          <w:spacing w:val="0"/>
          <w:sz w:val="21"/>
          <w:szCs w:val="21"/>
          <w:u w:val="single"/>
          <w:shd w:val="clear" w:fill="FFFFFF"/>
        </w:rPr>
        <w:t>提供承诺函并盖章）</w:t>
      </w:r>
      <w:r>
        <w:rPr>
          <w:rFonts w:hint="eastAsia" w:ascii="宋体" w:hAnsi="宋体" w:eastAsia="宋体" w:cs="宋体"/>
          <w:b w:val="0"/>
          <w:bCs w:val="0"/>
          <w:i/>
          <w:iCs/>
          <w:caps w:val="0"/>
          <w:color w:val="000000"/>
          <w:spacing w:val="0"/>
          <w:sz w:val="21"/>
          <w:szCs w:val="21"/>
          <w:u w:val="single"/>
          <w:shd w:val="clear" w:fill="FFFFFF"/>
        </w:rPr>
        <w:t>。</w:t>
      </w:r>
    </w:p>
    <w:p w14:paraId="6755D1C8">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i/>
          <w:iCs/>
          <w:sz w:val="21"/>
          <w:szCs w:val="21"/>
          <w:u w:val="single"/>
        </w:rPr>
      </w:pPr>
      <w:r>
        <w:rPr>
          <w:rFonts w:hint="eastAsia" w:ascii="宋体" w:hAnsi="宋体" w:eastAsia="宋体" w:cs="宋体"/>
          <w:b w:val="0"/>
          <w:bCs w:val="0"/>
          <w:i/>
          <w:iCs/>
          <w:caps w:val="0"/>
          <w:color w:val="000000"/>
          <w:spacing w:val="0"/>
          <w:sz w:val="21"/>
          <w:szCs w:val="21"/>
          <w:u w:val="single"/>
          <w:shd w:val="clear" w:fill="FFFFFF"/>
        </w:rPr>
        <w:t>4.供应商需承诺，所提供的产品因质量或网络等其他问题造成无法及时兑换电影票，供应商需负全责并无条件退还</w:t>
      </w:r>
      <w:r>
        <w:rPr>
          <w:rFonts w:hint="eastAsia" w:ascii="宋体" w:hAnsi="宋体" w:eastAsia="宋体" w:cs="宋体"/>
          <w:b/>
          <w:bCs/>
          <w:i/>
          <w:iCs/>
          <w:caps w:val="0"/>
          <w:color w:val="000000"/>
          <w:spacing w:val="0"/>
          <w:sz w:val="21"/>
          <w:szCs w:val="21"/>
          <w:u w:val="single"/>
          <w:shd w:val="clear" w:fill="FFFFFF"/>
        </w:rPr>
        <w:t>（提供承诺函并盖章）</w:t>
      </w:r>
      <w:r>
        <w:rPr>
          <w:rFonts w:hint="eastAsia" w:ascii="宋体" w:hAnsi="宋体" w:eastAsia="宋体" w:cs="宋体"/>
          <w:b w:val="0"/>
          <w:bCs w:val="0"/>
          <w:i/>
          <w:iCs/>
          <w:caps w:val="0"/>
          <w:color w:val="000000"/>
          <w:spacing w:val="0"/>
          <w:sz w:val="21"/>
          <w:szCs w:val="21"/>
          <w:u w:val="single"/>
          <w:shd w:val="clear" w:fill="FFFFFF"/>
        </w:rPr>
        <w:t>。</w:t>
      </w:r>
    </w:p>
    <w:p w14:paraId="67B9ACA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i/>
          <w:iCs/>
          <w:sz w:val="21"/>
          <w:szCs w:val="21"/>
          <w:u w:val="single"/>
        </w:rPr>
      </w:pPr>
      <w:r>
        <w:rPr>
          <w:rFonts w:hint="eastAsia" w:ascii="宋体" w:hAnsi="宋体" w:eastAsia="宋体" w:cs="宋体"/>
          <w:b w:val="0"/>
          <w:bCs w:val="0"/>
          <w:i/>
          <w:iCs/>
          <w:caps w:val="0"/>
          <w:color w:val="000000"/>
          <w:spacing w:val="0"/>
          <w:sz w:val="21"/>
          <w:szCs w:val="21"/>
          <w:u w:val="single"/>
          <w:shd w:val="clear" w:fill="FFFFFF"/>
        </w:rPr>
        <w:t>5.确保全年期间职工持每张观影券在广陵区、邗江区、经济开发区、瘦西湖风景名胜区、生态科技新城和江都区通过线上、线下可兑换3家以上影城电影票，包含：任意场次、含2D/3D、任意影片、任意时段及特殊影厅（IMAX、巨幕、杜比）观影），无需补差价。</w:t>
      </w:r>
      <w:r>
        <w:rPr>
          <w:rFonts w:hint="eastAsia" w:ascii="宋体" w:hAnsi="宋体" w:eastAsia="宋体" w:cs="宋体"/>
          <w:b/>
          <w:bCs/>
          <w:i/>
          <w:iCs/>
          <w:caps w:val="0"/>
          <w:color w:val="000000"/>
          <w:spacing w:val="0"/>
          <w:sz w:val="21"/>
          <w:szCs w:val="21"/>
          <w:u w:val="single"/>
          <w:shd w:val="clear" w:fill="FFFFFF"/>
        </w:rPr>
        <w:t>（提供承诺函并盖章）</w:t>
      </w:r>
      <w:r>
        <w:rPr>
          <w:rFonts w:hint="eastAsia" w:ascii="宋体" w:hAnsi="宋体" w:eastAsia="宋体" w:cs="宋体"/>
          <w:b w:val="0"/>
          <w:bCs w:val="0"/>
          <w:i/>
          <w:iCs/>
          <w:caps w:val="0"/>
          <w:color w:val="000000"/>
          <w:spacing w:val="0"/>
          <w:sz w:val="21"/>
          <w:szCs w:val="21"/>
          <w:u w:val="single"/>
          <w:shd w:val="clear" w:fill="FFFFFF"/>
        </w:rPr>
        <w:t>。            </w:t>
      </w:r>
    </w:p>
    <w:p w14:paraId="7F1B80F9">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sz w:val="21"/>
          <w:szCs w:val="21"/>
        </w:rPr>
      </w:pPr>
      <w:r>
        <w:rPr>
          <w:rFonts w:hint="eastAsia" w:ascii="宋体" w:hAnsi="宋体" w:eastAsia="宋体" w:cs="宋体"/>
          <w:b w:val="0"/>
          <w:bCs w:val="0"/>
          <w:i w:val="0"/>
          <w:iCs w:val="0"/>
          <w:caps w:val="0"/>
          <w:color w:val="000000"/>
          <w:spacing w:val="0"/>
          <w:sz w:val="21"/>
          <w:szCs w:val="21"/>
          <w:shd w:val="clear" w:fill="FFFFFF"/>
        </w:rPr>
        <w:t>6.以</w:t>
      </w:r>
      <w:r>
        <w:rPr>
          <w:rFonts w:hint="eastAsia" w:ascii="宋体" w:hAnsi="宋体" w:cs="宋体"/>
          <w:b w:val="0"/>
          <w:bCs w:val="0"/>
          <w:i w:val="0"/>
          <w:iCs w:val="0"/>
          <w:caps w:val="0"/>
          <w:color w:val="000000"/>
          <w:spacing w:val="0"/>
          <w:sz w:val="21"/>
          <w:szCs w:val="21"/>
          <w:highlight w:val="none"/>
          <w:shd w:val="clear" w:fill="FFFFFF"/>
          <w:lang w:val="en-US" w:eastAsia="zh-CN"/>
        </w:rPr>
        <w:t>观影</w:t>
      </w:r>
      <w:r>
        <w:rPr>
          <w:rFonts w:hint="eastAsia" w:ascii="宋体" w:hAnsi="宋体" w:eastAsia="宋体" w:cs="宋体"/>
          <w:b w:val="0"/>
          <w:bCs w:val="0"/>
          <w:i w:val="0"/>
          <w:iCs w:val="0"/>
          <w:caps w:val="0"/>
          <w:color w:val="000000"/>
          <w:spacing w:val="0"/>
          <w:sz w:val="21"/>
          <w:szCs w:val="21"/>
          <w:highlight w:val="none"/>
          <w:shd w:val="clear" w:fill="FFFFFF"/>
        </w:rPr>
        <w:t>券</w:t>
      </w:r>
      <w:r>
        <w:rPr>
          <w:rFonts w:hint="eastAsia" w:ascii="宋体" w:hAnsi="宋体" w:eastAsia="宋体" w:cs="宋体"/>
          <w:b w:val="0"/>
          <w:bCs w:val="0"/>
          <w:i w:val="0"/>
          <w:iCs w:val="0"/>
          <w:caps w:val="0"/>
          <w:color w:val="000000"/>
          <w:spacing w:val="0"/>
          <w:sz w:val="21"/>
          <w:szCs w:val="21"/>
          <w:shd w:val="clear" w:fill="FFFFFF"/>
        </w:rPr>
        <w:t>形式，收到采购人通知后5个工作日内发放，如采购人时间有变动以采购人通知时间为准。</w:t>
      </w:r>
    </w:p>
    <w:p w14:paraId="1A479296">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sz w:val="21"/>
          <w:szCs w:val="21"/>
        </w:rPr>
      </w:pPr>
      <w:r>
        <w:rPr>
          <w:rFonts w:hint="eastAsia" w:ascii="宋体" w:hAnsi="宋体" w:eastAsia="宋体" w:cs="宋体"/>
          <w:b w:val="0"/>
          <w:bCs w:val="0"/>
          <w:i w:val="0"/>
          <w:iCs w:val="0"/>
          <w:caps w:val="0"/>
          <w:color w:val="000000"/>
          <w:spacing w:val="0"/>
          <w:sz w:val="21"/>
          <w:szCs w:val="21"/>
          <w:shd w:val="clear" w:fill="FFFFFF"/>
        </w:rPr>
        <w:t>7.供应商须按自身实际情况对本项目提供优惠政策/增值服务。</w:t>
      </w:r>
    </w:p>
    <w:p w14:paraId="4605E3B5">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sz w:val="21"/>
          <w:szCs w:val="21"/>
        </w:rPr>
      </w:pPr>
      <w:r>
        <w:rPr>
          <w:rFonts w:hint="eastAsia" w:ascii="宋体" w:hAnsi="宋体" w:eastAsia="宋体" w:cs="宋体"/>
          <w:b w:val="0"/>
          <w:bCs w:val="0"/>
          <w:i w:val="0"/>
          <w:iCs w:val="0"/>
          <w:caps w:val="0"/>
          <w:color w:val="000000"/>
          <w:spacing w:val="0"/>
          <w:sz w:val="21"/>
          <w:szCs w:val="21"/>
        </w:rPr>
        <w:t>8、货款支付</w:t>
      </w:r>
    </w:p>
    <w:p w14:paraId="11FA3784">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sz w:val="21"/>
          <w:szCs w:val="21"/>
        </w:rPr>
      </w:pPr>
      <w:r>
        <w:rPr>
          <w:rFonts w:hint="eastAsia" w:ascii="宋体" w:hAnsi="宋体" w:eastAsia="宋体" w:cs="宋体"/>
          <w:b w:val="0"/>
          <w:bCs w:val="0"/>
          <w:i w:val="0"/>
          <w:iCs w:val="0"/>
          <w:caps w:val="0"/>
          <w:color w:val="000000"/>
          <w:spacing w:val="0"/>
          <w:sz w:val="21"/>
          <w:szCs w:val="21"/>
        </w:rPr>
        <w:t>8.1 本项目所有款项均以人民币支付。</w:t>
      </w:r>
    </w:p>
    <w:p w14:paraId="42DA5D16">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rPr>
        <w:t>8.2 本项目的采购资金由甲方支付，付款前乙方向甲方开具发票。</w:t>
      </w:r>
    </w:p>
    <w:p w14:paraId="4E711C68">
      <w:pPr>
        <w:rPr>
          <w:rFonts w:hint="eastAsia" w:ascii="宋体" w:hAnsi="宋体" w:cs="宋体"/>
          <w:color w:val="auto"/>
          <w:szCs w:val="21"/>
          <w:highlight w:val="none"/>
        </w:rPr>
      </w:pPr>
    </w:p>
    <w:p w14:paraId="6F35A0DE">
      <w:pPr>
        <w:pStyle w:val="12"/>
        <w:rPr>
          <w:rFonts w:hint="eastAsia" w:ascii="宋体" w:hAnsi="宋体" w:cs="宋体"/>
          <w:color w:val="auto"/>
          <w:szCs w:val="21"/>
          <w:highlight w:val="none"/>
        </w:rPr>
      </w:pPr>
    </w:p>
    <w:p w14:paraId="26ED7923">
      <w:pPr>
        <w:rPr>
          <w:rFonts w:hint="eastAsia" w:ascii="宋体" w:hAnsi="宋体" w:cs="宋体"/>
          <w:color w:val="auto"/>
          <w:szCs w:val="21"/>
          <w:highlight w:val="none"/>
        </w:rPr>
      </w:pPr>
    </w:p>
    <w:p w14:paraId="503D3BA3">
      <w:pPr>
        <w:pStyle w:val="12"/>
        <w:rPr>
          <w:rFonts w:hint="eastAsia" w:ascii="宋体" w:hAnsi="宋体" w:cs="宋体"/>
          <w:color w:val="auto"/>
          <w:szCs w:val="21"/>
          <w:highlight w:val="none"/>
        </w:rPr>
      </w:pPr>
    </w:p>
    <w:p w14:paraId="2A9A8AD2">
      <w:pPr>
        <w:rPr>
          <w:rFonts w:hint="eastAsia" w:ascii="宋体" w:hAnsi="宋体" w:cs="宋体"/>
          <w:color w:val="auto"/>
          <w:szCs w:val="21"/>
          <w:highlight w:val="none"/>
        </w:rPr>
      </w:pPr>
    </w:p>
    <w:p w14:paraId="0F0F2C71">
      <w:pPr>
        <w:pStyle w:val="12"/>
        <w:rPr>
          <w:rFonts w:hint="eastAsia" w:ascii="宋体" w:hAnsi="宋体" w:cs="宋体"/>
          <w:color w:val="auto"/>
          <w:szCs w:val="21"/>
          <w:highlight w:val="none"/>
        </w:rPr>
      </w:pPr>
    </w:p>
    <w:p w14:paraId="683C3354">
      <w:pPr>
        <w:rPr>
          <w:rFonts w:hint="eastAsia" w:ascii="宋体" w:hAnsi="宋体" w:cs="宋体"/>
          <w:color w:val="auto"/>
          <w:szCs w:val="21"/>
          <w:highlight w:val="none"/>
        </w:rPr>
      </w:pPr>
    </w:p>
    <w:p w14:paraId="0FA71B7B">
      <w:pPr>
        <w:rPr>
          <w:rFonts w:hint="eastAsia" w:ascii="宋体" w:hAnsi="宋体" w:cs="宋体"/>
          <w:color w:val="auto"/>
          <w:szCs w:val="21"/>
          <w:highlight w:val="none"/>
        </w:rPr>
      </w:pPr>
    </w:p>
    <w:p w14:paraId="2DB83FDB">
      <w:pPr>
        <w:pStyle w:val="10"/>
        <w:rPr>
          <w:rStyle w:val="36"/>
          <w:b/>
          <w:bCs/>
          <w:color w:val="auto"/>
          <w:highlight w:val="none"/>
        </w:rPr>
      </w:pPr>
    </w:p>
    <w:p w14:paraId="599F9CF9">
      <w:pPr>
        <w:widowControl/>
        <w:numPr>
          <w:ilvl w:val="0"/>
          <w:numId w:val="1"/>
        </w:numPr>
        <w:snapToGrid w:val="0"/>
        <w:spacing w:line="360" w:lineRule="auto"/>
        <w:jc w:val="center"/>
        <w:rPr>
          <w:rFonts w:ascii="宋体"/>
          <w:b/>
          <w:bCs/>
          <w:color w:val="auto"/>
          <w:sz w:val="36"/>
          <w:highlight w:val="none"/>
        </w:rPr>
      </w:pPr>
      <w:r>
        <w:rPr>
          <w:rFonts w:hint="eastAsia" w:ascii="宋体" w:hAnsi="宋体"/>
          <w:b/>
          <w:bCs/>
          <w:color w:val="auto"/>
          <w:sz w:val="36"/>
          <w:highlight w:val="none"/>
        </w:rPr>
        <w:t>评审方法和评审标准</w:t>
      </w:r>
    </w:p>
    <w:p w14:paraId="7C1579AC">
      <w:pPr>
        <w:pStyle w:val="61"/>
        <w:ind w:firstLine="422" w:firstLineChars="200"/>
        <w:rPr>
          <w:rFonts w:ascii="宋体"/>
          <w:b/>
          <w:color w:val="auto"/>
          <w:kern w:val="2"/>
          <w:sz w:val="21"/>
          <w:szCs w:val="21"/>
          <w:highlight w:val="none"/>
        </w:rPr>
      </w:pPr>
      <w:r>
        <w:rPr>
          <w:rFonts w:hint="eastAsia" w:ascii="宋体" w:hAnsi="宋体"/>
          <w:b/>
          <w:color w:val="auto"/>
          <w:kern w:val="2"/>
          <w:sz w:val="21"/>
          <w:szCs w:val="21"/>
          <w:highlight w:val="none"/>
        </w:rPr>
        <w:t>一、评标方法</w:t>
      </w:r>
    </w:p>
    <w:p w14:paraId="5F5B8DED">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采用综合评分法，评委会将对确定为实质性响应磋商文件要求的响应文件进行评价和比较。评标结果按评审后得分由高到低顺序排列。得分相同的，按响应报价由低到高顺序排列。得分且响应报价相同的并列，响应文件满足磋商文件全部实质性要求，且按照评审因素的量化指标评审得分</w:t>
      </w:r>
      <w:r>
        <w:rPr>
          <w:rFonts w:hint="eastAsia" w:ascii="Times New Roman" w:hAnsi="Times New Roman" w:cs="宋体"/>
          <w:color w:val="auto"/>
          <w:kern w:val="2"/>
          <w:sz w:val="21"/>
          <w:szCs w:val="21"/>
          <w:highlight w:val="none"/>
        </w:rPr>
        <w:t>由高到低</w:t>
      </w:r>
      <w:r>
        <w:rPr>
          <w:rFonts w:hint="eastAsia" w:ascii="Times New Roman" w:hAnsi="Times New Roman" w:cs="宋体"/>
          <w:color w:val="auto"/>
          <w:kern w:val="2"/>
          <w:sz w:val="21"/>
          <w:szCs w:val="21"/>
          <w:highlight w:val="none"/>
          <w:lang w:eastAsia="zh-CN"/>
        </w:rPr>
        <w:t>的</w:t>
      </w:r>
      <w:r>
        <w:rPr>
          <w:rFonts w:hint="eastAsia" w:ascii="Times New Roman" w:hAnsi="Times New Roman" w:cs="宋体"/>
          <w:color w:val="auto"/>
          <w:kern w:val="2"/>
          <w:sz w:val="21"/>
          <w:szCs w:val="21"/>
          <w:highlight w:val="none"/>
          <w:lang w:val="en-US" w:eastAsia="zh-CN"/>
        </w:rPr>
        <w:t>1家供应商</w:t>
      </w:r>
      <w:r>
        <w:rPr>
          <w:rFonts w:hint="eastAsia" w:ascii="Times New Roman" w:hAnsi="Times New Roman" w:cs="宋体"/>
          <w:color w:val="auto"/>
          <w:kern w:val="2"/>
          <w:sz w:val="21"/>
          <w:szCs w:val="21"/>
          <w:highlight w:val="none"/>
        </w:rPr>
        <w:t>为</w:t>
      </w:r>
      <w:r>
        <w:rPr>
          <w:rFonts w:hint="eastAsia" w:ascii="Times New Roman" w:hAnsi="Times New Roman" w:cs="宋体"/>
          <w:color w:val="auto"/>
          <w:kern w:val="2"/>
          <w:sz w:val="21"/>
          <w:szCs w:val="21"/>
          <w:highlight w:val="none"/>
          <w:lang w:eastAsia="zh-CN"/>
        </w:rPr>
        <w:t>成交</w:t>
      </w:r>
      <w:r>
        <w:rPr>
          <w:rFonts w:hint="eastAsia" w:ascii="Times New Roman" w:hAnsi="Times New Roman" w:cs="宋体"/>
          <w:color w:val="auto"/>
          <w:kern w:val="2"/>
          <w:sz w:val="21"/>
          <w:szCs w:val="21"/>
          <w:highlight w:val="none"/>
        </w:rPr>
        <w:t>候选人</w:t>
      </w:r>
      <w:r>
        <w:rPr>
          <w:rFonts w:hint="eastAsia" w:asciiTheme="minorEastAsia" w:hAnsiTheme="minorEastAsia" w:eastAsiaTheme="minorEastAsia" w:cstheme="minorEastAsia"/>
          <w:color w:val="auto"/>
          <w:sz w:val="21"/>
          <w:szCs w:val="21"/>
        </w:rPr>
        <w:t>。</w:t>
      </w:r>
    </w:p>
    <w:p w14:paraId="2E7A9019">
      <w:pPr>
        <w:numPr>
          <w:ilvl w:val="0"/>
          <w:numId w:val="0"/>
        </w:numPr>
        <w:snapToGrid w:val="0"/>
        <w:spacing w:line="360" w:lineRule="auto"/>
        <w:ind w:leftChars="200"/>
        <w:rPr>
          <w:rFonts w:hint="eastAsia" w:ascii="宋体" w:hAnsi="宋体" w:cs="Courier New"/>
          <w:b/>
          <w:bCs/>
          <w:sz w:val="24"/>
          <w:szCs w:val="24"/>
        </w:rPr>
      </w:pPr>
      <w:r>
        <w:rPr>
          <w:rFonts w:hint="eastAsia" w:ascii="宋体" w:hAnsi="宋体" w:cs="Courier New"/>
          <w:b/>
          <w:bCs/>
          <w:sz w:val="24"/>
          <w:szCs w:val="24"/>
          <w:lang w:eastAsia="zh-CN"/>
        </w:rPr>
        <w:t>二、</w:t>
      </w:r>
      <w:r>
        <w:rPr>
          <w:rFonts w:hint="eastAsia" w:ascii="宋体" w:hAnsi="宋体" w:cs="Courier New"/>
          <w:b/>
          <w:bCs/>
          <w:sz w:val="24"/>
          <w:szCs w:val="24"/>
        </w:rPr>
        <w:t>评标标准</w:t>
      </w:r>
    </w:p>
    <w:p w14:paraId="45A53733">
      <w:pPr>
        <w:spacing w:line="63" w:lineRule="exact"/>
      </w:pPr>
    </w:p>
    <w:tbl>
      <w:tblPr>
        <w:tblStyle w:val="67"/>
        <w:tblW w:w="8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1536"/>
        <w:gridCol w:w="4757"/>
        <w:gridCol w:w="1075"/>
      </w:tblGrid>
      <w:tr w14:paraId="0CC6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90" w:type="dxa"/>
            <w:tcBorders>
              <w:left w:val="single" w:color="000000" w:sz="2" w:space="0"/>
            </w:tcBorders>
            <w:vAlign w:val="top"/>
          </w:tcPr>
          <w:p w14:paraId="0D699EF8">
            <w:pPr>
              <w:pStyle w:val="66"/>
              <w:spacing w:before="30" w:line="208" w:lineRule="auto"/>
              <w:ind w:left="182"/>
              <w:rPr>
                <w:rFonts w:hint="eastAsia" w:ascii="宋体" w:hAnsi="宋体" w:eastAsia="宋体" w:cs="宋体"/>
                <w:sz w:val="21"/>
                <w:szCs w:val="21"/>
              </w:rPr>
            </w:pPr>
            <w:r>
              <w:rPr>
                <w:rFonts w:hint="eastAsia" w:ascii="宋体" w:hAnsi="宋体" w:eastAsia="宋体" w:cs="宋体"/>
                <w:b/>
                <w:bCs/>
                <w:spacing w:val="-4"/>
                <w:sz w:val="21"/>
                <w:szCs w:val="21"/>
              </w:rPr>
              <w:t>序号</w:t>
            </w:r>
          </w:p>
        </w:tc>
        <w:tc>
          <w:tcPr>
            <w:tcW w:w="1536" w:type="dxa"/>
            <w:vAlign w:val="top"/>
          </w:tcPr>
          <w:p w14:paraId="49C4CD06">
            <w:pPr>
              <w:pStyle w:val="66"/>
              <w:spacing w:before="29" w:line="209" w:lineRule="auto"/>
              <w:ind w:left="136"/>
              <w:jc w:val="center"/>
              <w:rPr>
                <w:rFonts w:hint="eastAsia" w:ascii="宋体" w:hAnsi="宋体" w:eastAsia="宋体" w:cs="宋体"/>
                <w:sz w:val="21"/>
                <w:szCs w:val="21"/>
              </w:rPr>
            </w:pPr>
            <w:r>
              <w:rPr>
                <w:rFonts w:hint="eastAsia" w:ascii="宋体" w:hAnsi="宋体" w:eastAsia="宋体" w:cs="宋体"/>
                <w:b/>
                <w:bCs/>
                <w:spacing w:val="-4"/>
                <w:sz w:val="21"/>
                <w:szCs w:val="21"/>
              </w:rPr>
              <w:t>评分因素</w:t>
            </w:r>
          </w:p>
        </w:tc>
        <w:tc>
          <w:tcPr>
            <w:tcW w:w="4757" w:type="dxa"/>
            <w:vAlign w:val="top"/>
          </w:tcPr>
          <w:p w14:paraId="27A027E3">
            <w:pPr>
              <w:pStyle w:val="66"/>
              <w:spacing w:before="30" w:line="208" w:lineRule="auto"/>
              <w:ind w:left="1238"/>
              <w:rPr>
                <w:rFonts w:hint="eastAsia" w:ascii="宋体" w:hAnsi="宋体" w:eastAsia="宋体" w:cs="宋体"/>
                <w:sz w:val="21"/>
                <w:szCs w:val="21"/>
              </w:rPr>
            </w:pPr>
            <w:r>
              <w:rPr>
                <w:rFonts w:hint="eastAsia" w:ascii="宋体" w:hAnsi="宋体" w:eastAsia="宋体" w:cs="宋体"/>
                <w:b/>
                <w:bCs/>
                <w:spacing w:val="-4"/>
                <w:sz w:val="21"/>
                <w:szCs w:val="21"/>
              </w:rPr>
              <w:t>评审标准</w:t>
            </w:r>
          </w:p>
        </w:tc>
        <w:tc>
          <w:tcPr>
            <w:tcW w:w="1075" w:type="dxa"/>
            <w:vAlign w:val="top"/>
          </w:tcPr>
          <w:p w14:paraId="2763AB7D">
            <w:pPr>
              <w:pStyle w:val="66"/>
              <w:spacing w:before="29" w:line="209" w:lineRule="auto"/>
              <w:ind w:left="172"/>
              <w:rPr>
                <w:rFonts w:hint="eastAsia" w:ascii="宋体" w:hAnsi="宋体" w:eastAsia="宋体" w:cs="宋体"/>
                <w:sz w:val="21"/>
                <w:szCs w:val="21"/>
              </w:rPr>
            </w:pPr>
            <w:r>
              <w:rPr>
                <w:rFonts w:hint="eastAsia" w:ascii="宋体" w:hAnsi="宋体" w:eastAsia="宋体" w:cs="宋体"/>
                <w:b/>
                <w:bCs/>
                <w:spacing w:val="-5"/>
                <w:sz w:val="21"/>
                <w:szCs w:val="21"/>
              </w:rPr>
              <w:t>分值</w:t>
            </w:r>
          </w:p>
        </w:tc>
      </w:tr>
      <w:tr w14:paraId="50F8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090" w:type="dxa"/>
            <w:tcBorders>
              <w:left w:val="single" w:color="000000" w:sz="2" w:space="0"/>
            </w:tcBorders>
            <w:vAlign w:val="top"/>
          </w:tcPr>
          <w:p w14:paraId="61AF0F93">
            <w:pPr>
              <w:pStyle w:val="66"/>
              <w:spacing w:before="276" w:line="241" w:lineRule="auto"/>
              <w:ind w:left="319"/>
              <w:rPr>
                <w:rFonts w:hint="eastAsia" w:ascii="宋体" w:hAnsi="宋体" w:eastAsia="宋体" w:cs="宋体"/>
                <w:sz w:val="21"/>
                <w:szCs w:val="21"/>
              </w:rPr>
            </w:pPr>
            <w:r>
              <w:rPr>
                <w:rFonts w:hint="eastAsia" w:ascii="宋体" w:hAnsi="宋体" w:eastAsia="宋体" w:cs="宋体"/>
                <w:sz w:val="21"/>
                <w:szCs w:val="21"/>
              </w:rPr>
              <w:t>1</w:t>
            </w:r>
          </w:p>
        </w:tc>
        <w:tc>
          <w:tcPr>
            <w:tcW w:w="1536" w:type="dxa"/>
            <w:vAlign w:val="top"/>
          </w:tcPr>
          <w:p w14:paraId="3BDB6944">
            <w:pPr>
              <w:pStyle w:val="66"/>
              <w:spacing w:before="253" w:line="218" w:lineRule="auto"/>
              <w:ind w:left="236"/>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价格分</w:t>
            </w:r>
          </w:p>
          <w:p w14:paraId="439FDA03">
            <w:pPr>
              <w:pStyle w:val="66"/>
              <w:spacing w:before="253" w:line="218" w:lineRule="auto"/>
              <w:ind w:left="236"/>
              <w:jc w:val="center"/>
              <w:rPr>
                <w:rFonts w:hint="eastAsia" w:ascii="宋体" w:hAnsi="宋体" w:eastAsia="宋体" w:cs="宋体"/>
                <w:sz w:val="21"/>
                <w:szCs w:val="21"/>
                <w:lang w:eastAsia="zh-CN"/>
              </w:rPr>
            </w:pPr>
            <w:r>
              <w:rPr>
                <w:rFonts w:hint="eastAsia" w:cs="宋体"/>
                <w:b/>
                <w:bCs/>
                <w:spacing w:val="-4"/>
                <w:sz w:val="21"/>
                <w:szCs w:val="21"/>
                <w:lang w:eastAsia="zh-CN"/>
              </w:rPr>
              <w:t>（</w:t>
            </w:r>
            <w:r>
              <w:rPr>
                <w:rFonts w:hint="eastAsia" w:cs="宋体"/>
                <w:b/>
                <w:bCs/>
                <w:spacing w:val="-4"/>
                <w:sz w:val="21"/>
                <w:szCs w:val="21"/>
                <w:lang w:val="en-US" w:eastAsia="zh-CN"/>
              </w:rPr>
              <w:t>20分</w:t>
            </w:r>
            <w:r>
              <w:rPr>
                <w:rFonts w:hint="eastAsia" w:cs="宋体"/>
                <w:b/>
                <w:bCs/>
                <w:spacing w:val="-4"/>
                <w:sz w:val="21"/>
                <w:szCs w:val="21"/>
                <w:lang w:eastAsia="zh-CN"/>
              </w:rPr>
              <w:t>）</w:t>
            </w:r>
          </w:p>
        </w:tc>
        <w:tc>
          <w:tcPr>
            <w:tcW w:w="4757" w:type="dxa"/>
            <w:vAlign w:val="top"/>
          </w:tcPr>
          <w:p w14:paraId="5D9AFBF7">
            <w:pPr>
              <w:pStyle w:val="66"/>
              <w:spacing w:before="16" w:line="221" w:lineRule="auto"/>
              <w:ind w:left="65" w:right="110" w:firstLine="79"/>
              <w:jc w:val="both"/>
              <w:rPr>
                <w:rFonts w:hint="eastAsia" w:ascii="宋体" w:hAnsi="宋体" w:eastAsia="宋体" w:cs="宋体"/>
                <w:sz w:val="21"/>
                <w:szCs w:val="21"/>
              </w:rPr>
            </w:pPr>
            <w:r>
              <w:rPr>
                <w:rFonts w:hint="eastAsia" w:ascii="宋体" w:hAnsi="宋体" w:eastAsia="宋体" w:cs="宋体"/>
                <w:spacing w:val="-1"/>
                <w:sz w:val="21"/>
                <w:szCs w:val="21"/>
                <w:highlight w:val="none"/>
              </w:rPr>
              <w:t>可兑换观影卷：基础数量为5张不得</w:t>
            </w:r>
            <w:r>
              <w:rPr>
                <w:rFonts w:hint="eastAsia" w:ascii="宋体" w:hAnsi="宋体" w:eastAsia="宋体" w:cs="宋体"/>
                <w:spacing w:val="1"/>
                <w:sz w:val="21"/>
                <w:szCs w:val="21"/>
                <w:highlight w:val="none"/>
              </w:rPr>
              <w:t>分，每增加1张观影卷得</w:t>
            </w:r>
            <w:r>
              <w:rPr>
                <w:rFonts w:hint="eastAsia" w:cs="宋体"/>
                <w:spacing w:val="1"/>
                <w:sz w:val="21"/>
                <w:szCs w:val="21"/>
                <w:highlight w:val="none"/>
                <w:lang w:val="en-US" w:eastAsia="zh-CN"/>
              </w:rPr>
              <w:t>5</w:t>
            </w:r>
            <w:r>
              <w:rPr>
                <w:rFonts w:hint="eastAsia" w:ascii="宋体" w:hAnsi="宋体" w:eastAsia="宋体" w:cs="宋体"/>
                <w:spacing w:val="1"/>
                <w:sz w:val="21"/>
                <w:szCs w:val="21"/>
                <w:highlight w:val="none"/>
              </w:rPr>
              <w:t>分，满分为</w:t>
            </w:r>
            <w:r>
              <w:rPr>
                <w:rFonts w:hint="eastAsia" w:ascii="宋体" w:hAnsi="宋体" w:eastAsia="宋体" w:cs="宋体"/>
                <w:spacing w:val="2"/>
                <w:sz w:val="21"/>
                <w:szCs w:val="21"/>
                <w:highlight w:val="none"/>
              </w:rPr>
              <w:t xml:space="preserve"> </w:t>
            </w:r>
            <w:r>
              <w:rPr>
                <w:rFonts w:hint="eastAsia" w:cs="宋体"/>
                <w:spacing w:val="2"/>
                <w:sz w:val="21"/>
                <w:szCs w:val="21"/>
                <w:highlight w:val="none"/>
                <w:lang w:val="en-US" w:eastAsia="zh-CN"/>
              </w:rPr>
              <w:t>20</w:t>
            </w:r>
            <w:r>
              <w:rPr>
                <w:rFonts w:hint="eastAsia" w:ascii="宋体" w:hAnsi="宋体" w:eastAsia="宋体" w:cs="宋体"/>
                <w:spacing w:val="-1"/>
                <w:sz w:val="21"/>
                <w:szCs w:val="21"/>
                <w:highlight w:val="none"/>
              </w:rPr>
              <w:t>分。</w:t>
            </w:r>
          </w:p>
        </w:tc>
        <w:tc>
          <w:tcPr>
            <w:tcW w:w="1075" w:type="dxa"/>
            <w:vAlign w:val="top"/>
          </w:tcPr>
          <w:p w14:paraId="2C0DE8A3">
            <w:pPr>
              <w:pStyle w:val="66"/>
              <w:spacing w:before="276"/>
              <w:ind w:left="269"/>
              <w:rPr>
                <w:rFonts w:hint="eastAsia" w:ascii="宋体" w:hAnsi="宋体" w:eastAsia="宋体" w:cs="宋体"/>
                <w:sz w:val="21"/>
                <w:szCs w:val="21"/>
              </w:rPr>
            </w:pPr>
            <w:r>
              <w:rPr>
                <w:rFonts w:hint="eastAsia" w:cs="宋体"/>
                <w:spacing w:val="-3"/>
                <w:sz w:val="21"/>
                <w:szCs w:val="21"/>
                <w:lang w:val="en-US" w:eastAsia="zh-CN"/>
              </w:rPr>
              <w:t>20</w:t>
            </w:r>
            <w:r>
              <w:rPr>
                <w:rFonts w:hint="eastAsia" w:cs="宋体"/>
                <w:spacing w:val="-3"/>
                <w:sz w:val="21"/>
                <w:szCs w:val="21"/>
                <w:lang w:eastAsia="zh-CN"/>
              </w:rPr>
              <w:t>分</w:t>
            </w:r>
          </w:p>
        </w:tc>
      </w:tr>
      <w:tr w14:paraId="0754E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1090" w:type="dxa"/>
            <w:tcBorders>
              <w:left w:val="single" w:color="000000" w:sz="2" w:space="0"/>
            </w:tcBorders>
            <w:vAlign w:val="top"/>
          </w:tcPr>
          <w:p w14:paraId="63DB2CC3">
            <w:pPr>
              <w:spacing w:line="350" w:lineRule="auto"/>
              <w:rPr>
                <w:rFonts w:hint="eastAsia" w:ascii="宋体" w:hAnsi="宋体" w:eastAsia="宋体" w:cs="宋体"/>
                <w:sz w:val="21"/>
                <w:szCs w:val="21"/>
              </w:rPr>
            </w:pPr>
          </w:p>
          <w:p w14:paraId="18A8E5BE">
            <w:pPr>
              <w:spacing w:line="351" w:lineRule="auto"/>
              <w:rPr>
                <w:rFonts w:hint="eastAsia" w:ascii="宋体" w:hAnsi="宋体" w:eastAsia="宋体" w:cs="宋体"/>
                <w:sz w:val="21"/>
                <w:szCs w:val="21"/>
              </w:rPr>
            </w:pPr>
          </w:p>
          <w:p w14:paraId="67800457">
            <w:pPr>
              <w:pStyle w:val="66"/>
              <w:spacing w:before="62" w:line="241" w:lineRule="auto"/>
              <w:ind w:left="319"/>
              <w:rPr>
                <w:rFonts w:hint="eastAsia" w:ascii="宋体" w:hAnsi="宋体" w:eastAsia="宋体" w:cs="宋体"/>
                <w:sz w:val="21"/>
                <w:szCs w:val="21"/>
                <w:lang w:eastAsia="zh-CN"/>
              </w:rPr>
            </w:pPr>
            <w:r>
              <w:rPr>
                <w:rFonts w:hint="eastAsia" w:cs="宋体"/>
                <w:sz w:val="21"/>
                <w:szCs w:val="21"/>
                <w:lang w:val="en-US" w:eastAsia="zh-CN"/>
              </w:rPr>
              <w:t>3</w:t>
            </w:r>
          </w:p>
        </w:tc>
        <w:tc>
          <w:tcPr>
            <w:tcW w:w="1536" w:type="dxa"/>
            <w:vAlign w:val="top"/>
          </w:tcPr>
          <w:p w14:paraId="4CE160FB">
            <w:pPr>
              <w:spacing w:line="340" w:lineRule="auto"/>
              <w:jc w:val="center"/>
              <w:rPr>
                <w:rFonts w:hint="eastAsia" w:ascii="宋体" w:hAnsi="宋体" w:eastAsia="宋体" w:cs="宋体"/>
                <w:sz w:val="21"/>
                <w:szCs w:val="21"/>
              </w:rPr>
            </w:pPr>
          </w:p>
          <w:p w14:paraId="6A35EF1E">
            <w:pPr>
              <w:pStyle w:val="66"/>
              <w:spacing w:before="62" w:line="219" w:lineRule="auto"/>
              <w:ind w:firstLine="406" w:firstLineChars="20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服务方案</w:t>
            </w:r>
          </w:p>
          <w:p w14:paraId="0AD5072F">
            <w:pPr>
              <w:pStyle w:val="66"/>
              <w:spacing w:before="62" w:line="219" w:lineRule="auto"/>
              <w:ind w:left="136"/>
              <w:jc w:val="center"/>
              <w:rPr>
                <w:rFonts w:hint="eastAsia" w:ascii="宋体" w:hAnsi="宋体" w:eastAsia="宋体" w:cs="宋体"/>
                <w:sz w:val="21"/>
                <w:szCs w:val="21"/>
                <w:lang w:eastAsia="zh-CN"/>
              </w:rPr>
            </w:pPr>
            <w:r>
              <w:rPr>
                <w:rFonts w:hint="eastAsia" w:cs="宋体"/>
                <w:b/>
                <w:bCs/>
                <w:spacing w:val="-4"/>
                <w:sz w:val="21"/>
                <w:szCs w:val="21"/>
                <w:lang w:eastAsia="zh-CN"/>
              </w:rPr>
              <w:t>（</w:t>
            </w:r>
            <w:r>
              <w:rPr>
                <w:rFonts w:hint="eastAsia" w:cs="宋体"/>
                <w:b/>
                <w:bCs/>
                <w:spacing w:val="-4"/>
                <w:sz w:val="21"/>
                <w:szCs w:val="21"/>
                <w:lang w:val="en-US" w:eastAsia="zh-CN"/>
              </w:rPr>
              <w:t>20分</w:t>
            </w:r>
            <w:r>
              <w:rPr>
                <w:rFonts w:hint="eastAsia" w:cs="宋体"/>
                <w:b/>
                <w:bCs/>
                <w:spacing w:val="-4"/>
                <w:sz w:val="21"/>
                <w:szCs w:val="21"/>
                <w:lang w:eastAsia="zh-CN"/>
              </w:rPr>
              <w:t>）</w:t>
            </w:r>
          </w:p>
        </w:tc>
        <w:tc>
          <w:tcPr>
            <w:tcW w:w="4757" w:type="dxa"/>
            <w:vAlign w:val="top"/>
          </w:tcPr>
          <w:p w14:paraId="78B417FC">
            <w:pPr>
              <w:pStyle w:val="66"/>
              <w:spacing w:before="27" w:line="219" w:lineRule="auto"/>
              <w:jc w:val="both"/>
              <w:rPr>
                <w:rFonts w:hint="eastAsia" w:ascii="宋体" w:hAnsi="宋体" w:eastAsia="宋体" w:cs="宋体"/>
                <w:sz w:val="21"/>
                <w:szCs w:val="21"/>
              </w:rPr>
            </w:pPr>
            <w:r>
              <w:rPr>
                <w:rFonts w:hint="eastAsia" w:ascii="宋体" w:hAnsi="宋体" w:eastAsia="宋体" w:cs="宋体"/>
                <w:spacing w:val="-1"/>
                <w:sz w:val="21"/>
                <w:szCs w:val="21"/>
              </w:rPr>
              <w:t>提供电影票服务方案，评委会根据实际操作流程的安全性、流程的便利性、可操作性、票价执行标准、服务体系的完备性等情况进行综合评审，服务方案好的得20分，服务方案较好的得15分，服务方案一般的得10分，服务方案较</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rPr>
              <w:t>差得5分。</w:t>
            </w:r>
            <w:r>
              <w:rPr>
                <w:rFonts w:hint="eastAsia" w:ascii="宋体" w:hAnsi="宋体" w:eastAsia="宋体" w:cs="宋体"/>
                <w:b/>
                <w:bCs/>
                <w:spacing w:val="-8"/>
                <w:sz w:val="21"/>
                <w:szCs w:val="21"/>
              </w:rPr>
              <w:t>其他或不提供不得分</w:t>
            </w:r>
            <w:r>
              <w:rPr>
                <w:rFonts w:hint="eastAsia" w:ascii="宋体" w:hAnsi="宋体" w:eastAsia="宋体" w:cs="宋体"/>
                <w:spacing w:val="-8"/>
                <w:sz w:val="21"/>
                <w:szCs w:val="21"/>
              </w:rPr>
              <w:t>。</w:t>
            </w:r>
          </w:p>
        </w:tc>
        <w:tc>
          <w:tcPr>
            <w:tcW w:w="1075" w:type="dxa"/>
            <w:vAlign w:val="top"/>
          </w:tcPr>
          <w:p w14:paraId="7CF42D2F">
            <w:pPr>
              <w:spacing w:line="350" w:lineRule="auto"/>
              <w:rPr>
                <w:rFonts w:hint="eastAsia" w:ascii="宋体" w:hAnsi="宋体" w:eastAsia="宋体" w:cs="宋体"/>
                <w:sz w:val="21"/>
                <w:szCs w:val="21"/>
              </w:rPr>
            </w:pPr>
          </w:p>
          <w:p w14:paraId="227171F5">
            <w:pPr>
              <w:spacing w:line="351" w:lineRule="auto"/>
              <w:rPr>
                <w:rFonts w:hint="eastAsia" w:ascii="宋体" w:hAnsi="宋体" w:eastAsia="宋体" w:cs="宋体"/>
                <w:sz w:val="21"/>
                <w:szCs w:val="21"/>
              </w:rPr>
            </w:pPr>
          </w:p>
          <w:p w14:paraId="1BB18519">
            <w:pPr>
              <w:pStyle w:val="66"/>
              <w:spacing w:before="61"/>
              <w:ind w:left="269"/>
              <w:rPr>
                <w:rFonts w:hint="eastAsia" w:ascii="宋体" w:hAnsi="宋体" w:eastAsia="宋体" w:cs="宋体"/>
                <w:sz w:val="21"/>
                <w:szCs w:val="21"/>
              </w:rPr>
            </w:pPr>
            <w:r>
              <w:rPr>
                <w:rFonts w:hint="eastAsia" w:ascii="宋体" w:hAnsi="宋体" w:eastAsia="宋体" w:cs="宋体"/>
                <w:spacing w:val="-3"/>
                <w:sz w:val="21"/>
                <w:szCs w:val="21"/>
              </w:rPr>
              <w:t>20</w:t>
            </w:r>
            <w:r>
              <w:rPr>
                <w:rFonts w:hint="eastAsia" w:cs="宋体"/>
                <w:spacing w:val="-3"/>
                <w:sz w:val="21"/>
                <w:szCs w:val="21"/>
                <w:lang w:eastAsia="zh-CN"/>
              </w:rPr>
              <w:t>分</w:t>
            </w:r>
          </w:p>
        </w:tc>
      </w:tr>
      <w:tr w14:paraId="4461E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9" w:hRule="atLeast"/>
        </w:trPr>
        <w:tc>
          <w:tcPr>
            <w:tcW w:w="1090" w:type="dxa"/>
            <w:tcBorders>
              <w:left w:val="single" w:color="000000" w:sz="2" w:space="0"/>
            </w:tcBorders>
            <w:vAlign w:val="top"/>
          </w:tcPr>
          <w:p w14:paraId="2A5271E2">
            <w:pPr>
              <w:spacing w:line="310" w:lineRule="auto"/>
              <w:rPr>
                <w:rFonts w:hint="eastAsia" w:ascii="宋体" w:hAnsi="宋体" w:eastAsia="宋体" w:cs="宋体"/>
                <w:sz w:val="21"/>
                <w:szCs w:val="21"/>
              </w:rPr>
            </w:pPr>
          </w:p>
          <w:p w14:paraId="668E61B5">
            <w:pPr>
              <w:spacing w:line="311" w:lineRule="auto"/>
              <w:rPr>
                <w:rFonts w:hint="eastAsia" w:ascii="宋体" w:hAnsi="宋体" w:eastAsia="宋体" w:cs="宋体"/>
                <w:sz w:val="21"/>
                <w:szCs w:val="21"/>
              </w:rPr>
            </w:pPr>
          </w:p>
          <w:p w14:paraId="3C6CB3FB">
            <w:pPr>
              <w:spacing w:line="311" w:lineRule="auto"/>
              <w:rPr>
                <w:rFonts w:hint="eastAsia" w:ascii="宋体" w:hAnsi="宋体" w:eastAsia="宋体" w:cs="宋体"/>
                <w:sz w:val="21"/>
                <w:szCs w:val="21"/>
              </w:rPr>
            </w:pPr>
          </w:p>
          <w:p w14:paraId="698D6173">
            <w:pPr>
              <w:pStyle w:val="66"/>
              <w:spacing w:before="62"/>
              <w:ind w:left="319"/>
              <w:rPr>
                <w:rFonts w:hint="eastAsia" w:ascii="宋体" w:hAnsi="宋体" w:eastAsia="宋体" w:cs="宋体"/>
                <w:sz w:val="21"/>
                <w:szCs w:val="21"/>
                <w:lang w:eastAsia="zh-CN"/>
              </w:rPr>
            </w:pPr>
            <w:r>
              <w:rPr>
                <w:rFonts w:hint="eastAsia" w:cs="宋体"/>
                <w:sz w:val="21"/>
                <w:szCs w:val="21"/>
                <w:lang w:val="en-US" w:eastAsia="zh-CN"/>
              </w:rPr>
              <w:t>4</w:t>
            </w:r>
          </w:p>
        </w:tc>
        <w:tc>
          <w:tcPr>
            <w:tcW w:w="1536" w:type="dxa"/>
            <w:vAlign w:val="top"/>
          </w:tcPr>
          <w:p w14:paraId="0F3325EB">
            <w:pPr>
              <w:spacing w:line="304" w:lineRule="auto"/>
              <w:jc w:val="both"/>
              <w:rPr>
                <w:rFonts w:hint="eastAsia" w:ascii="宋体" w:hAnsi="宋体" w:eastAsia="宋体" w:cs="宋体"/>
                <w:sz w:val="21"/>
                <w:szCs w:val="21"/>
              </w:rPr>
            </w:pPr>
          </w:p>
          <w:p w14:paraId="57F9158C">
            <w:pPr>
              <w:pStyle w:val="66"/>
              <w:spacing w:before="62" w:line="220" w:lineRule="auto"/>
              <w:ind w:left="136"/>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售后方案</w:t>
            </w:r>
          </w:p>
          <w:p w14:paraId="1A5BB568">
            <w:pPr>
              <w:pStyle w:val="66"/>
              <w:spacing w:before="62" w:line="220" w:lineRule="auto"/>
              <w:ind w:left="136"/>
              <w:jc w:val="center"/>
              <w:rPr>
                <w:rFonts w:hint="eastAsia" w:ascii="宋体" w:hAnsi="宋体" w:eastAsia="宋体" w:cs="宋体"/>
                <w:sz w:val="21"/>
                <w:szCs w:val="21"/>
                <w:lang w:eastAsia="zh-CN"/>
              </w:rPr>
            </w:pPr>
            <w:r>
              <w:rPr>
                <w:rFonts w:hint="eastAsia" w:cs="宋体"/>
                <w:b/>
                <w:bCs/>
                <w:spacing w:val="-4"/>
                <w:sz w:val="21"/>
                <w:szCs w:val="21"/>
                <w:lang w:eastAsia="zh-CN"/>
              </w:rPr>
              <w:t>（</w:t>
            </w:r>
            <w:r>
              <w:rPr>
                <w:rFonts w:hint="eastAsia" w:cs="宋体"/>
                <w:b/>
                <w:bCs/>
                <w:spacing w:val="-4"/>
                <w:sz w:val="21"/>
                <w:szCs w:val="21"/>
                <w:lang w:val="en-US" w:eastAsia="zh-CN"/>
              </w:rPr>
              <w:t>15分</w:t>
            </w:r>
            <w:r>
              <w:rPr>
                <w:rFonts w:hint="eastAsia" w:cs="宋体"/>
                <w:b/>
                <w:bCs/>
                <w:spacing w:val="-4"/>
                <w:sz w:val="21"/>
                <w:szCs w:val="21"/>
                <w:lang w:eastAsia="zh-CN"/>
              </w:rPr>
              <w:t>）</w:t>
            </w:r>
          </w:p>
        </w:tc>
        <w:tc>
          <w:tcPr>
            <w:tcW w:w="4757" w:type="dxa"/>
            <w:vAlign w:val="top"/>
          </w:tcPr>
          <w:p w14:paraId="3F74DE0C">
            <w:pPr>
              <w:pStyle w:val="66"/>
              <w:spacing w:before="33" w:line="227" w:lineRule="auto"/>
              <w:ind w:left="15"/>
              <w:rPr>
                <w:rFonts w:hint="eastAsia" w:ascii="宋体" w:hAnsi="宋体" w:eastAsia="宋体" w:cs="宋体"/>
                <w:sz w:val="21"/>
                <w:szCs w:val="21"/>
              </w:rPr>
            </w:pPr>
            <w:r>
              <w:rPr>
                <w:rFonts w:hint="eastAsia" w:ascii="宋体" w:hAnsi="宋体" w:eastAsia="宋体" w:cs="宋体"/>
                <w:spacing w:val="-4"/>
                <w:sz w:val="21"/>
                <w:szCs w:val="21"/>
              </w:rPr>
              <w:t>供应商根据项目需求提供服务承诺，评</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委根据服务承诺内容，就准时送货、遗</w:t>
            </w:r>
            <w:r>
              <w:rPr>
                <w:rFonts w:hint="eastAsia" w:ascii="宋体" w:hAnsi="宋体" w:eastAsia="宋体" w:cs="宋体"/>
                <w:sz w:val="21"/>
                <w:szCs w:val="21"/>
              </w:rPr>
              <w:t xml:space="preserve"> </w:t>
            </w:r>
            <w:r>
              <w:rPr>
                <w:rFonts w:hint="eastAsia" w:ascii="宋体" w:hAnsi="宋体" w:eastAsia="宋体" w:cs="宋体"/>
                <w:spacing w:val="-4"/>
                <w:sz w:val="21"/>
                <w:szCs w:val="21"/>
              </w:rPr>
              <w:t>漏及时补货、产品退换货、赔偿承诺方案等方面评审，承诺内容完整全面，退</w:t>
            </w:r>
            <w:r>
              <w:rPr>
                <w:rFonts w:hint="eastAsia" w:ascii="宋体" w:hAnsi="宋体" w:eastAsia="宋体" w:cs="宋体"/>
                <w:spacing w:val="-1"/>
                <w:sz w:val="21"/>
                <w:szCs w:val="21"/>
              </w:rPr>
              <w:t>换货及时，赔偿承诺详细全面得15分，</w:t>
            </w:r>
            <w:r>
              <w:rPr>
                <w:rFonts w:hint="eastAsia" w:ascii="宋体" w:hAnsi="宋体" w:eastAsia="宋体" w:cs="宋体"/>
                <w:spacing w:val="-4"/>
                <w:sz w:val="21"/>
                <w:szCs w:val="21"/>
              </w:rPr>
              <w:t>承诺内容较全面，退换较及时，赔偿承</w:t>
            </w:r>
            <w:r>
              <w:rPr>
                <w:rFonts w:hint="eastAsia" w:ascii="宋体" w:hAnsi="宋体" w:eastAsia="宋体" w:cs="宋体"/>
                <w:spacing w:val="1"/>
                <w:sz w:val="21"/>
                <w:szCs w:val="21"/>
              </w:rPr>
              <w:t>诺得12分，承诺内容一般，退换较及</w:t>
            </w:r>
            <w:r>
              <w:rPr>
                <w:rFonts w:hint="eastAsia" w:ascii="宋体" w:hAnsi="宋体" w:eastAsia="宋体" w:cs="宋体"/>
                <w:sz w:val="21"/>
                <w:szCs w:val="21"/>
              </w:rPr>
              <w:t>时得9分，承诺内容简略，无退换措施</w:t>
            </w:r>
            <w:r>
              <w:rPr>
                <w:rFonts w:hint="eastAsia" w:ascii="宋体" w:hAnsi="宋体" w:eastAsia="宋体" w:cs="宋体"/>
                <w:spacing w:val="-5"/>
                <w:sz w:val="21"/>
                <w:szCs w:val="21"/>
              </w:rPr>
              <w:t>得4分。</w:t>
            </w:r>
            <w:r>
              <w:rPr>
                <w:rFonts w:hint="eastAsia" w:ascii="宋体" w:hAnsi="宋体" w:eastAsia="宋体" w:cs="宋体"/>
                <w:b/>
                <w:bCs/>
                <w:spacing w:val="-5"/>
                <w:sz w:val="21"/>
                <w:szCs w:val="21"/>
              </w:rPr>
              <w:t>其他或不提供不得分</w:t>
            </w:r>
            <w:r>
              <w:rPr>
                <w:rFonts w:hint="eastAsia" w:ascii="宋体" w:hAnsi="宋体" w:eastAsia="宋体" w:cs="宋体"/>
                <w:spacing w:val="-5"/>
                <w:sz w:val="21"/>
                <w:szCs w:val="21"/>
              </w:rPr>
              <w:t>。</w:t>
            </w:r>
          </w:p>
        </w:tc>
        <w:tc>
          <w:tcPr>
            <w:tcW w:w="1075" w:type="dxa"/>
            <w:vAlign w:val="top"/>
          </w:tcPr>
          <w:p w14:paraId="20F4B092">
            <w:pPr>
              <w:spacing w:line="310" w:lineRule="auto"/>
              <w:rPr>
                <w:rFonts w:hint="eastAsia" w:ascii="宋体" w:hAnsi="宋体" w:eastAsia="宋体" w:cs="宋体"/>
                <w:sz w:val="21"/>
                <w:szCs w:val="21"/>
              </w:rPr>
            </w:pPr>
          </w:p>
          <w:p w14:paraId="3E22A327">
            <w:pPr>
              <w:spacing w:line="311" w:lineRule="auto"/>
              <w:rPr>
                <w:rFonts w:hint="eastAsia" w:ascii="宋体" w:hAnsi="宋体" w:eastAsia="宋体" w:cs="宋体"/>
                <w:sz w:val="21"/>
                <w:szCs w:val="21"/>
              </w:rPr>
            </w:pPr>
          </w:p>
          <w:p w14:paraId="0F5708E4">
            <w:pPr>
              <w:spacing w:line="311" w:lineRule="auto"/>
              <w:rPr>
                <w:rFonts w:hint="eastAsia" w:ascii="宋体" w:hAnsi="宋体" w:eastAsia="宋体" w:cs="宋体"/>
                <w:sz w:val="21"/>
                <w:szCs w:val="21"/>
              </w:rPr>
            </w:pPr>
          </w:p>
          <w:p w14:paraId="234DCC19">
            <w:pPr>
              <w:pStyle w:val="66"/>
              <w:spacing w:before="62"/>
              <w:ind w:left="269"/>
              <w:rPr>
                <w:rFonts w:hint="eastAsia" w:ascii="宋体" w:hAnsi="宋体" w:eastAsia="宋体" w:cs="宋体"/>
                <w:sz w:val="21"/>
                <w:szCs w:val="21"/>
              </w:rPr>
            </w:pPr>
            <w:r>
              <w:rPr>
                <w:rFonts w:hint="eastAsia" w:ascii="宋体" w:hAnsi="宋体" w:eastAsia="宋体" w:cs="宋体"/>
                <w:spacing w:val="-6"/>
                <w:sz w:val="21"/>
                <w:szCs w:val="21"/>
              </w:rPr>
              <w:t>15</w:t>
            </w:r>
            <w:r>
              <w:rPr>
                <w:rFonts w:hint="eastAsia" w:cs="宋体"/>
                <w:spacing w:val="-3"/>
                <w:sz w:val="21"/>
                <w:szCs w:val="21"/>
                <w:lang w:eastAsia="zh-CN"/>
              </w:rPr>
              <w:t>分</w:t>
            </w:r>
          </w:p>
        </w:tc>
      </w:tr>
      <w:tr w14:paraId="644CC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1090" w:type="dxa"/>
            <w:tcBorders>
              <w:left w:val="single" w:color="000000" w:sz="2" w:space="0"/>
            </w:tcBorders>
            <w:vAlign w:val="top"/>
          </w:tcPr>
          <w:p w14:paraId="6CD07423">
            <w:pPr>
              <w:spacing w:line="460" w:lineRule="auto"/>
              <w:rPr>
                <w:rFonts w:hint="eastAsia" w:ascii="宋体" w:hAnsi="宋体" w:eastAsia="宋体" w:cs="宋体"/>
                <w:sz w:val="21"/>
                <w:szCs w:val="21"/>
              </w:rPr>
            </w:pPr>
          </w:p>
          <w:p w14:paraId="048917B3">
            <w:pPr>
              <w:pStyle w:val="66"/>
              <w:spacing w:before="61" w:line="241" w:lineRule="auto"/>
              <w:ind w:left="319"/>
              <w:rPr>
                <w:rFonts w:hint="eastAsia" w:ascii="宋体" w:hAnsi="宋体" w:eastAsia="宋体" w:cs="宋体"/>
                <w:sz w:val="21"/>
                <w:szCs w:val="21"/>
                <w:lang w:eastAsia="zh-CN"/>
              </w:rPr>
            </w:pPr>
            <w:r>
              <w:rPr>
                <w:rFonts w:hint="eastAsia" w:cs="宋体"/>
                <w:sz w:val="21"/>
                <w:szCs w:val="21"/>
                <w:lang w:val="en-US" w:eastAsia="zh-CN"/>
              </w:rPr>
              <w:t>5</w:t>
            </w:r>
          </w:p>
        </w:tc>
        <w:tc>
          <w:tcPr>
            <w:tcW w:w="1536" w:type="dxa"/>
            <w:vAlign w:val="top"/>
          </w:tcPr>
          <w:p w14:paraId="03E75CD0">
            <w:pPr>
              <w:pStyle w:val="66"/>
              <w:spacing w:before="263" w:line="238" w:lineRule="auto"/>
              <w:ind w:left="86" w:right="103" w:firstLine="49"/>
              <w:jc w:val="center"/>
              <w:rPr>
                <w:rFonts w:hint="eastAsia" w:ascii="宋体" w:hAnsi="宋体" w:eastAsia="宋体" w:cs="宋体"/>
                <w:b/>
                <w:bCs/>
                <w:spacing w:val="-5"/>
                <w:sz w:val="21"/>
                <w:szCs w:val="21"/>
              </w:rPr>
            </w:pPr>
            <w:r>
              <w:rPr>
                <w:rFonts w:hint="eastAsia" w:ascii="宋体" w:hAnsi="宋体" w:eastAsia="宋体" w:cs="宋体"/>
                <w:b/>
                <w:bCs/>
                <w:spacing w:val="-4"/>
                <w:sz w:val="21"/>
                <w:szCs w:val="21"/>
              </w:rPr>
              <w:t>优惠政策</w:t>
            </w:r>
            <w:r>
              <w:rPr>
                <w:rFonts w:hint="eastAsia" w:ascii="宋体" w:hAnsi="宋体" w:eastAsia="宋体" w:cs="宋体"/>
                <w:sz w:val="21"/>
                <w:szCs w:val="21"/>
              </w:rPr>
              <w:t xml:space="preserve"> </w:t>
            </w:r>
            <w:r>
              <w:rPr>
                <w:rFonts w:hint="eastAsia" w:ascii="宋体" w:hAnsi="宋体" w:eastAsia="宋体" w:cs="宋体"/>
                <w:b/>
                <w:bCs/>
                <w:spacing w:val="-4"/>
                <w:sz w:val="21"/>
                <w:szCs w:val="21"/>
              </w:rPr>
              <w:t>/增值服务</w:t>
            </w:r>
            <w:r>
              <w:rPr>
                <w:rFonts w:hint="eastAsia" w:ascii="宋体" w:hAnsi="宋体" w:eastAsia="宋体" w:cs="宋体"/>
                <w:b/>
                <w:bCs/>
                <w:spacing w:val="-5"/>
                <w:sz w:val="21"/>
                <w:szCs w:val="21"/>
              </w:rPr>
              <w:t>方案</w:t>
            </w:r>
          </w:p>
          <w:p w14:paraId="5BE96F31">
            <w:pPr>
              <w:pStyle w:val="66"/>
              <w:spacing w:before="263" w:line="238" w:lineRule="auto"/>
              <w:ind w:left="86" w:right="103" w:firstLine="49"/>
              <w:jc w:val="center"/>
              <w:rPr>
                <w:rFonts w:hint="eastAsia" w:ascii="宋体" w:hAnsi="宋体" w:eastAsia="宋体" w:cs="宋体"/>
                <w:sz w:val="21"/>
                <w:szCs w:val="21"/>
                <w:lang w:eastAsia="zh-CN"/>
              </w:rPr>
            </w:pPr>
            <w:r>
              <w:rPr>
                <w:rFonts w:hint="eastAsia" w:cs="宋体"/>
                <w:b/>
                <w:bCs/>
                <w:spacing w:val="-5"/>
                <w:sz w:val="21"/>
                <w:szCs w:val="21"/>
                <w:lang w:eastAsia="zh-CN"/>
              </w:rPr>
              <w:t>（</w:t>
            </w:r>
            <w:r>
              <w:rPr>
                <w:rFonts w:hint="eastAsia" w:cs="宋体"/>
                <w:b/>
                <w:bCs/>
                <w:spacing w:val="-5"/>
                <w:sz w:val="21"/>
                <w:szCs w:val="21"/>
                <w:lang w:val="en-US" w:eastAsia="zh-CN"/>
              </w:rPr>
              <w:t>25分</w:t>
            </w:r>
            <w:r>
              <w:rPr>
                <w:rFonts w:hint="eastAsia" w:cs="宋体"/>
                <w:b/>
                <w:bCs/>
                <w:spacing w:val="-5"/>
                <w:sz w:val="21"/>
                <w:szCs w:val="21"/>
                <w:lang w:eastAsia="zh-CN"/>
              </w:rPr>
              <w:t>）</w:t>
            </w:r>
          </w:p>
        </w:tc>
        <w:tc>
          <w:tcPr>
            <w:tcW w:w="4757" w:type="dxa"/>
            <w:vAlign w:val="top"/>
          </w:tcPr>
          <w:p w14:paraId="6958CE02">
            <w:pPr>
              <w:pStyle w:val="66"/>
              <w:spacing w:before="35" w:line="223" w:lineRule="auto"/>
              <w:ind w:left="15" w:firstLine="79"/>
              <w:rPr>
                <w:rFonts w:hint="eastAsia" w:ascii="宋体" w:hAnsi="宋体" w:eastAsia="宋体" w:cs="宋体"/>
                <w:sz w:val="21"/>
                <w:szCs w:val="21"/>
              </w:rPr>
            </w:pPr>
            <w:r>
              <w:rPr>
                <w:rFonts w:hint="eastAsia" w:ascii="宋体" w:hAnsi="宋体" w:eastAsia="宋体" w:cs="宋体"/>
                <w:sz w:val="21"/>
                <w:szCs w:val="21"/>
              </w:rPr>
              <w:t>供应商须结合自身实际情况对本项目</w:t>
            </w:r>
            <w:r>
              <w:rPr>
                <w:rFonts w:hint="eastAsia" w:ascii="宋体" w:hAnsi="宋体" w:eastAsia="宋体" w:cs="宋体"/>
                <w:spacing w:val="5"/>
                <w:sz w:val="21"/>
                <w:szCs w:val="21"/>
              </w:rPr>
              <w:t xml:space="preserve">  </w:t>
            </w:r>
            <w:r>
              <w:rPr>
                <w:rFonts w:hint="eastAsia" w:ascii="宋体" w:hAnsi="宋体" w:eastAsia="宋体" w:cs="宋体"/>
                <w:spacing w:val="1"/>
                <w:sz w:val="21"/>
                <w:szCs w:val="21"/>
              </w:rPr>
              <w:t>提供优惠政策/增值服务，评委会根据</w:t>
            </w:r>
            <w:r>
              <w:rPr>
                <w:rFonts w:hint="eastAsia" w:ascii="宋体" w:hAnsi="宋体" w:eastAsia="宋体" w:cs="宋体"/>
                <w:spacing w:val="3"/>
                <w:sz w:val="21"/>
                <w:szCs w:val="21"/>
              </w:rPr>
              <w:t xml:space="preserve"> 供应商所提供的对应服务方案酌情打</w:t>
            </w:r>
            <w:r>
              <w:rPr>
                <w:rFonts w:hint="eastAsia" w:ascii="宋体" w:hAnsi="宋体" w:eastAsia="宋体" w:cs="宋体"/>
                <w:spacing w:val="-1"/>
                <w:sz w:val="21"/>
                <w:szCs w:val="21"/>
              </w:rPr>
              <w:t>分。方案严谨可行、增值服务服务类别</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好，优惠政策多的得25分；方案严谨</w:t>
            </w:r>
            <w:r>
              <w:rPr>
                <w:rFonts w:hint="eastAsia" w:ascii="宋体" w:hAnsi="宋体" w:eastAsia="宋体" w:cs="宋体"/>
                <w:spacing w:val="-7"/>
                <w:sz w:val="21"/>
                <w:szCs w:val="21"/>
              </w:rPr>
              <w:t>可行、增值服务服务类别较好，优惠政</w:t>
            </w:r>
            <w:r>
              <w:rPr>
                <w:rFonts w:hint="eastAsia" w:ascii="宋体" w:hAnsi="宋体" w:eastAsia="宋体" w:cs="宋体"/>
                <w:spacing w:val="4"/>
                <w:sz w:val="21"/>
                <w:szCs w:val="21"/>
              </w:rPr>
              <w:t xml:space="preserve">  </w:t>
            </w:r>
            <w:r>
              <w:rPr>
                <w:rFonts w:hint="eastAsia" w:ascii="宋体" w:hAnsi="宋体" w:eastAsia="宋体" w:cs="宋体"/>
                <w:spacing w:val="-1"/>
                <w:sz w:val="21"/>
                <w:szCs w:val="21"/>
              </w:rPr>
              <w:t>策较多的得20分；方案基本严谨可行、</w:t>
            </w:r>
            <w:r>
              <w:rPr>
                <w:rFonts w:hint="eastAsia" w:ascii="宋体" w:hAnsi="宋体" w:eastAsia="宋体" w:cs="宋体"/>
                <w:spacing w:val="7"/>
                <w:sz w:val="21"/>
                <w:szCs w:val="21"/>
              </w:rPr>
              <w:t xml:space="preserve"> </w:t>
            </w:r>
            <w:r>
              <w:rPr>
                <w:rFonts w:hint="eastAsia" w:ascii="宋体" w:hAnsi="宋体" w:eastAsia="宋体" w:cs="宋体"/>
                <w:spacing w:val="-7"/>
                <w:sz w:val="21"/>
                <w:szCs w:val="21"/>
              </w:rPr>
              <w:t>增值服务服务类别一般，优惠政策一般</w:t>
            </w:r>
            <w:r>
              <w:rPr>
                <w:rFonts w:hint="eastAsia" w:ascii="宋体" w:hAnsi="宋体" w:eastAsia="宋体" w:cs="宋体"/>
                <w:spacing w:val="4"/>
                <w:sz w:val="21"/>
                <w:szCs w:val="21"/>
              </w:rPr>
              <w:t xml:space="preserve">  </w:t>
            </w:r>
            <w:r>
              <w:rPr>
                <w:rFonts w:hint="eastAsia" w:ascii="宋体" w:hAnsi="宋体" w:eastAsia="宋体" w:cs="宋体"/>
                <w:spacing w:val="-1"/>
                <w:sz w:val="21"/>
                <w:szCs w:val="21"/>
              </w:rPr>
              <w:t>的得15分；方案不够严谨可行、增值</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服务服务类别不够好，优惠政策不够多</w:t>
            </w:r>
            <w:r>
              <w:rPr>
                <w:rFonts w:hint="eastAsia" w:ascii="宋体" w:hAnsi="宋体" w:eastAsia="宋体" w:cs="宋体"/>
                <w:sz w:val="21"/>
                <w:szCs w:val="21"/>
              </w:rPr>
              <w:t xml:space="preserve"> </w:t>
            </w:r>
            <w:r>
              <w:rPr>
                <w:rFonts w:hint="eastAsia" w:ascii="宋体" w:hAnsi="宋体" w:eastAsia="宋体" w:cs="宋体"/>
                <w:spacing w:val="-9"/>
                <w:sz w:val="21"/>
                <w:szCs w:val="21"/>
              </w:rPr>
              <w:t>的得10分；</w:t>
            </w:r>
            <w:r>
              <w:rPr>
                <w:rFonts w:hint="eastAsia" w:ascii="宋体" w:hAnsi="宋体" w:eastAsia="宋体" w:cs="宋体"/>
                <w:b/>
                <w:bCs/>
                <w:spacing w:val="-9"/>
                <w:sz w:val="21"/>
                <w:szCs w:val="21"/>
              </w:rPr>
              <w:t>其他或不提供不得分</w:t>
            </w:r>
            <w:r>
              <w:rPr>
                <w:rFonts w:hint="eastAsia" w:ascii="宋体" w:hAnsi="宋体" w:eastAsia="宋体" w:cs="宋体"/>
                <w:spacing w:val="-9"/>
                <w:sz w:val="21"/>
                <w:szCs w:val="21"/>
              </w:rPr>
              <w:t>。</w:t>
            </w:r>
          </w:p>
        </w:tc>
        <w:tc>
          <w:tcPr>
            <w:tcW w:w="1075" w:type="dxa"/>
            <w:vAlign w:val="top"/>
          </w:tcPr>
          <w:p w14:paraId="45585602">
            <w:pPr>
              <w:spacing w:line="459" w:lineRule="auto"/>
              <w:rPr>
                <w:rFonts w:hint="eastAsia" w:ascii="宋体" w:hAnsi="宋体" w:eastAsia="宋体" w:cs="宋体"/>
                <w:sz w:val="21"/>
                <w:szCs w:val="21"/>
              </w:rPr>
            </w:pPr>
          </w:p>
          <w:p w14:paraId="02055395">
            <w:pPr>
              <w:pStyle w:val="66"/>
              <w:spacing w:before="62"/>
              <w:ind w:left="269"/>
              <w:rPr>
                <w:rFonts w:hint="eastAsia" w:ascii="宋体" w:hAnsi="宋体" w:eastAsia="宋体" w:cs="宋体"/>
                <w:sz w:val="21"/>
                <w:szCs w:val="21"/>
                <w:lang w:eastAsia="zh-CN"/>
              </w:rPr>
            </w:pPr>
            <w:r>
              <w:rPr>
                <w:rFonts w:hint="eastAsia" w:ascii="宋体" w:hAnsi="宋体" w:eastAsia="宋体" w:cs="宋体"/>
                <w:spacing w:val="-3"/>
                <w:sz w:val="21"/>
                <w:szCs w:val="21"/>
              </w:rPr>
              <w:t>25</w:t>
            </w:r>
            <w:r>
              <w:rPr>
                <w:rFonts w:hint="eastAsia" w:cs="宋体"/>
                <w:spacing w:val="-3"/>
                <w:sz w:val="21"/>
                <w:szCs w:val="21"/>
                <w:lang w:eastAsia="zh-CN"/>
              </w:rPr>
              <w:t>分</w:t>
            </w:r>
          </w:p>
        </w:tc>
      </w:tr>
      <w:tr w14:paraId="0EA8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1090" w:type="dxa"/>
            <w:tcBorders>
              <w:left w:val="single" w:color="000000" w:sz="2" w:space="0"/>
            </w:tcBorders>
            <w:shd w:val="clear" w:color="auto" w:fill="auto"/>
            <w:vAlign w:val="top"/>
          </w:tcPr>
          <w:p w14:paraId="4DFB59BD">
            <w:pPr>
              <w:spacing w:line="287" w:lineRule="auto"/>
              <w:rPr>
                <w:rFonts w:hint="eastAsia" w:ascii="宋体" w:hAnsi="宋体" w:eastAsia="宋体" w:cs="宋体"/>
                <w:sz w:val="21"/>
                <w:szCs w:val="21"/>
              </w:rPr>
            </w:pPr>
          </w:p>
          <w:p w14:paraId="7CDF7672">
            <w:pPr>
              <w:spacing w:line="287" w:lineRule="auto"/>
              <w:rPr>
                <w:rFonts w:hint="eastAsia" w:ascii="宋体" w:hAnsi="宋体" w:eastAsia="宋体" w:cs="宋体"/>
                <w:sz w:val="21"/>
                <w:szCs w:val="21"/>
              </w:rPr>
            </w:pPr>
          </w:p>
          <w:p w14:paraId="098DF297">
            <w:pPr>
              <w:pStyle w:val="66"/>
              <w:spacing w:before="62"/>
              <w:ind w:left="315" w:leftChars="0"/>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6</w:t>
            </w:r>
          </w:p>
        </w:tc>
        <w:tc>
          <w:tcPr>
            <w:tcW w:w="1536" w:type="dxa"/>
            <w:shd w:val="clear" w:color="auto" w:fill="auto"/>
            <w:vAlign w:val="top"/>
          </w:tcPr>
          <w:p w14:paraId="3265AF06">
            <w:pPr>
              <w:spacing w:line="277" w:lineRule="auto"/>
              <w:jc w:val="center"/>
              <w:rPr>
                <w:rFonts w:hint="eastAsia" w:ascii="宋体" w:hAnsi="宋体" w:eastAsia="宋体" w:cs="宋体"/>
                <w:sz w:val="21"/>
                <w:szCs w:val="21"/>
              </w:rPr>
            </w:pPr>
          </w:p>
          <w:p w14:paraId="3113C515">
            <w:pPr>
              <w:spacing w:line="277" w:lineRule="auto"/>
              <w:jc w:val="center"/>
              <w:rPr>
                <w:rFonts w:hint="eastAsia" w:ascii="宋体" w:hAnsi="宋体" w:eastAsia="宋体" w:cs="宋体"/>
                <w:sz w:val="21"/>
                <w:szCs w:val="21"/>
              </w:rPr>
            </w:pPr>
          </w:p>
          <w:p w14:paraId="41B6A551">
            <w:pPr>
              <w:pStyle w:val="66"/>
              <w:spacing w:before="62" w:line="220" w:lineRule="auto"/>
              <w:ind w:left="323" w:leftChars="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业绩</w:t>
            </w:r>
          </w:p>
          <w:p w14:paraId="17DD422C">
            <w:pPr>
              <w:pStyle w:val="66"/>
              <w:spacing w:before="62" w:line="220" w:lineRule="auto"/>
              <w:ind w:left="323" w:leftChars="0"/>
              <w:jc w:val="center"/>
              <w:rPr>
                <w:rFonts w:hint="eastAsia" w:ascii="宋体" w:hAnsi="宋体" w:eastAsia="宋体" w:cs="宋体"/>
                <w:b/>
                <w:bCs/>
                <w:spacing w:val="-4"/>
                <w:sz w:val="21"/>
                <w:szCs w:val="21"/>
                <w:lang w:val="en-US" w:eastAsia="zh-CN"/>
              </w:rPr>
            </w:pPr>
            <w:r>
              <w:rPr>
                <w:rFonts w:hint="eastAsia" w:cs="宋体"/>
                <w:b/>
                <w:bCs/>
                <w:spacing w:val="-4"/>
                <w:sz w:val="21"/>
                <w:szCs w:val="21"/>
                <w:lang w:eastAsia="zh-CN"/>
              </w:rPr>
              <w:t>（</w:t>
            </w:r>
            <w:r>
              <w:rPr>
                <w:rFonts w:hint="eastAsia" w:cs="宋体"/>
                <w:b/>
                <w:bCs/>
                <w:spacing w:val="-4"/>
                <w:sz w:val="21"/>
                <w:szCs w:val="21"/>
                <w:lang w:val="en-US" w:eastAsia="zh-CN"/>
              </w:rPr>
              <w:t>20分</w:t>
            </w:r>
            <w:r>
              <w:rPr>
                <w:rFonts w:hint="eastAsia" w:cs="宋体"/>
                <w:b/>
                <w:bCs/>
                <w:spacing w:val="-4"/>
                <w:sz w:val="21"/>
                <w:szCs w:val="21"/>
                <w:lang w:eastAsia="zh-CN"/>
              </w:rPr>
              <w:t>）</w:t>
            </w:r>
          </w:p>
        </w:tc>
        <w:tc>
          <w:tcPr>
            <w:tcW w:w="4757" w:type="dxa"/>
            <w:shd w:val="clear" w:color="auto" w:fill="auto"/>
            <w:vAlign w:val="top"/>
          </w:tcPr>
          <w:p w14:paraId="425024FF">
            <w:pPr>
              <w:pStyle w:val="66"/>
              <w:numPr>
                <w:ilvl w:val="0"/>
                <w:numId w:val="2"/>
              </w:numPr>
              <w:spacing w:before="20" w:line="219" w:lineRule="auto"/>
              <w:ind w:left="73"/>
              <w:rPr>
                <w:rFonts w:hint="eastAsia" w:ascii="宋体" w:hAnsi="宋体" w:eastAsia="宋体" w:cs="宋体"/>
                <w:b/>
                <w:bCs/>
                <w:spacing w:val="5"/>
                <w:sz w:val="21"/>
                <w:szCs w:val="21"/>
              </w:rPr>
            </w:pPr>
            <w:r>
              <w:rPr>
                <w:rFonts w:hint="eastAsia" w:ascii="宋体" w:hAnsi="宋体" w:eastAsia="宋体" w:cs="宋体"/>
                <w:spacing w:val="-1"/>
                <w:sz w:val="21"/>
                <w:szCs w:val="21"/>
              </w:rPr>
              <w:t>投标供应商自202</w:t>
            </w:r>
            <w:r>
              <w:rPr>
                <w:rFonts w:hint="eastAsia" w:cs="宋体"/>
                <w:spacing w:val="-1"/>
                <w:sz w:val="21"/>
                <w:szCs w:val="21"/>
                <w:lang w:val="en-US" w:eastAsia="zh-CN"/>
              </w:rPr>
              <w:t>2</w:t>
            </w:r>
            <w:r>
              <w:rPr>
                <w:rFonts w:hint="eastAsia" w:ascii="宋体" w:hAnsi="宋体" w:eastAsia="宋体" w:cs="宋体"/>
                <w:spacing w:val="-1"/>
                <w:sz w:val="21"/>
                <w:szCs w:val="21"/>
              </w:rPr>
              <w:t>年7月1日以来，承担过类似业绩的，每提供一个业绩得</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2分，满分10分。</w:t>
            </w:r>
            <w:r>
              <w:rPr>
                <w:rFonts w:hint="eastAsia" w:ascii="宋体" w:hAnsi="宋体" w:eastAsia="宋体" w:cs="宋体"/>
                <w:b/>
                <w:bCs/>
                <w:spacing w:val="2"/>
                <w:sz w:val="21"/>
                <w:szCs w:val="21"/>
              </w:rPr>
              <w:t>(时间以合同签订时</w:t>
            </w:r>
            <w:r>
              <w:rPr>
                <w:rFonts w:hint="eastAsia" w:ascii="宋体" w:hAnsi="宋体" w:eastAsia="宋体" w:cs="宋体"/>
                <w:b/>
                <w:bCs/>
                <w:spacing w:val="-2"/>
                <w:sz w:val="21"/>
                <w:szCs w:val="21"/>
              </w:rPr>
              <w:t>间或中标/成交通知书时间为准，提供</w:t>
            </w:r>
            <w:r>
              <w:rPr>
                <w:rFonts w:hint="eastAsia" w:ascii="宋体" w:hAnsi="宋体" w:eastAsia="宋体" w:cs="宋体"/>
                <w:spacing w:val="3"/>
                <w:sz w:val="21"/>
                <w:szCs w:val="21"/>
              </w:rPr>
              <w:t xml:space="preserve"> </w:t>
            </w:r>
            <w:r>
              <w:rPr>
                <w:rFonts w:hint="eastAsia" w:ascii="宋体" w:hAnsi="宋体" w:eastAsia="宋体" w:cs="宋体"/>
                <w:b/>
                <w:bCs/>
                <w:spacing w:val="-3"/>
                <w:sz w:val="21"/>
                <w:szCs w:val="21"/>
              </w:rPr>
              <w:t>合同复印件或中标/成交通知书加盖公</w:t>
            </w:r>
            <w:r>
              <w:rPr>
                <w:rFonts w:hint="eastAsia" w:ascii="宋体" w:hAnsi="宋体" w:eastAsia="宋体" w:cs="宋体"/>
                <w:b/>
                <w:bCs/>
                <w:spacing w:val="5"/>
                <w:sz w:val="21"/>
                <w:szCs w:val="21"/>
              </w:rPr>
              <w:t>章</w:t>
            </w:r>
            <w:r>
              <w:rPr>
                <w:rFonts w:hint="eastAsia" w:ascii="宋体" w:hAnsi="宋体" w:eastAsia="宋体" w:cs="宋体"/>
                <w:spacing w:val="-41"/>
                <w:sz w:val="21"/>
                <w:szCs w:val="21"/>
              </w:rPr>
              <w:t xml:space="preserve"> </w:t>
            </w:r>
            <w:r>
              <w:rPr>
                <w:rFonts w:hint="eastAsia" w:ascii="宋体" w:hAnsi="宋体" w:eastAsia="宋体" w:cs="宋体"/>
                <w:b/>
                <w:bCs/>
                <w:spacing w:val="5"/>
                <w:sz w:val="21"/>
                <w:szCs w:val="21"/>
              </w:rPr>
              <w:t>)</w:t>
            </w:r>
          </w:p>
          <w:p w14:paraId="33E59081">
            <w:pPr>
              <w:pStyle w:val="66"/>
              <w:numPr>
                <w:ilvl w:val="0"/>
                <w:numId w:val="2"/>
              </w:numPr>
              <w:spacing w:before="20" w:line="219" w:lineRule="auto"/>
              <w:ind w:left="73"/>
              <w:rPr>
                <w:rFonts w:hint="eastAsia" w:ascii="宋体" w:hAnsi="宋体" w:eastAsia="宋体" w:cs="宋体"/>
                <w:b/>
                <w:bCs/>
                <w:spacing w:val="5"/>
                <w:sz w:val="21"/>
                <w:szCs w:val="21"/>
                <w:lang w:val="en-US" w:eastAsia="en-US"/>
              </w:rPr>
            </w:pPr>
            <w:r>
              <w:rPr>
                <w:rFonts w:hint="eastAsia" w:ascii="宋体" w:hAnsi="宋体" w:eastAsia="宋体" w:cs="宋体"/>
                <w:b w:val="0"/>
                <w:bCs w:val="0"/>
                <w:spacing w:val="5"/>
                <w:sz w:val="21"/>
                <w:szCs w:val="21"/>
                <w:lang w:val="en-US" w:eastAsia="en-US"/>
              </w:rPr>
              <w:t>为保障采购人的观影的体验感及购票权益，供应商有过和</w:t>
            </w:r>
            <w:r>
              <w:rPr>
                <w:rFonts w:hint="eastAsia" w:cs="宋体"/>
                <w:b w:val="0"/>
                <w:bCs w:val="0"/>
                <w:spacing w:val="5"/>
                <w:sz w:val="21"/>
                <w:szCs w:val="21"/>
                <w:lang w:val="en-US" w:eastAsia="zh-CN"/>
              </w:rPr>
              <w:t>线下</w:t>
            </w:r>
            <w:r>
              <w:rPr>
                <w:rFonts w:hint="eastAsia" w:ascii="宋体" w:hAnsi="宋体" w:eastAsia="宋体" w:cs="宋体"/>
                <w:b w:val="0"/>
                <w:bCs w:val="0"/>
                <w:spacing w:val="5"/>
                <w:sz w:val="21"/>
                <w:szCs w:val="21"/>
                <w:lang w:val="en-US" w:eastAsia="en-US"/>
              </w:rPr>
              <w:t>影院合作的业绩，</w:t>
            </w:r>
            <w:r>
              <w:rPr>
                <w:rFonts w:hint="eastAsia" w:cs="宋体"/>
                <w:b w:val="0"/>
                <w:bCs w:val="0"/>
                <w:spacing w:val="5"/>
                <w:sz w:val="21"/>
                <w:szCs w:val="21"/>
                <w:lang w:val="en-US" w:eastAsia="zh-CN"/>
              </w:rPr>
              <w:t>且在有效期内的，</w:t>
            </w:r>
            <w:r>
              <w:rPr>
                <w:rFonts w:hint="eastAsia" w:ascii="宋体" w:hAnsi="宋体" w:eastAsia="宋体" w:cs="宋体"/>
                <w:b w:val="0"/>
                <w:bCs w:val="0"/>
                <w:spacing w:val="5"/>
                <w:sz w:val="21"/>
                <w:szCs w:val="21"/>
                <w:lang w:val="en-US" w:eastAsia="en-US"/>
              </w:rPr>
              <w:t>有一个加1分，满分10分</w:t>
            </w:r>
            <w:r>
              <w:rPr>
                <w:rFonts w:hint="eastAsia" w:ascii="宋体" w:hAnsi="宋体" w:eastAsia="宋体" w:cs="宋体"/>
                <w:b/>
                <w:bCs/>
                <w:spacing w:val="5"/>
                <w:sz w:val="21"/>
                <w:szCs w:val="21"/>
                <w:lang w:val="en-US" w:eastAsia="en-US"/>
              </w:rPr>
              <w:t>（提供相关证明材料复印件并加盖供应商公章）</w:t>
            </w:r>
          </w:p>
        </w:tc>
        <w:tc>
          <w:tcPr>
            <w:tcW w:w="1075" w:type="dxa"/>
            <w:shd w:val="clear" w:color="auto" w:fill="auto"/>
            <w:vAlign w:val="top"/>
          </w:tcPr>
          <w:p w14:paraId="6EA134D0">
            <w:pPr>
              <w:spacing w:line="277" w:lineRule="auto"/>
              <w:jc w:val="center"/>
              <w:rPr>
                <w:rFonts w:hint="eastAsia" w:ascii="宋体" w:hAnsi="宋体" w:eastAsia="宋体" w:cs="宋体"/>
                <w:sz w:val="21"/>
                <w:szCs w:val="21"/>
              </w:rPr>
            </w:pPr>
          </w:p>
          <w:p w14:paraId="4EFB87AD">
            <w:pPr>
              <w:spacing w:line="277" w:lineRule="auto"/>
              <w:jc w:val="center"/>
              <w:rPr>
                <w:rFonts w:hint="eastAsia" w:ascii="宋体" w:hAnsi="宋体" w:eastAsia="宋体" w:cs="宋体"/>
                <w:sz w:val="21"/>
                <w:szCs w:val="21"/>
              </w:rPr>
            </w:pPr>
          </w:p>
          <w:p w14:paraId="32DAF9F3">
            <w:pPr>
              <w:pStyle w:val="66"/>
              <w:spacing w:before="62" w:line="220" w:lineRule="auto"/>
              <w:jc w:val="center"/>
              <w:rPr>
                <w:rFonts w:hint="eastAsia" w:ascii="宋体" w:hAnsi="宋体" w:eastAsia="宋体" w:cs="宋体"/>
                <w:kern w:val="2"/>
                <w:sz w:val="21"/>
                <w:szCs w:val="21"/>
                <w:lang w:val="en-US" w:eastAsia="en-US" w:bidi="ar-SA"/>
              </w:rPr>
            </w:pPr>
            <w:r>
              <w:rPr>
                <w:rFonts w:hint="eastAsia" w:cs="宋体"/>
                <w:b w:val="0"/>
                <w:bCs w:val="0"/>
                <w:spacing w:val="-2"/>
                <w:sz w:val="21"/>
                <w:szCs w:val="21"/>
                <w:lang w:val="en-US" w:eastAsia="zh-CN"/>
              </w:rPr>
              <w:t>20</w:t>
            </w:r>
            <w:r>
              <w:rPr>
                <w:rFonts w:hint="eastAsia" w:ascii="宋体" w:hAnsi="宋体" w:eastAsia="宋体" w:cs="宋体"/>
                <w:b w:val="0"/>
                <w:bCs w:val="0"/>
                <w:spacing w:val="-2"/>
                <w:sz w:val="21"/>
                <w:szCs w:val="21"/>
              </w:rPr>
              <w:t>分</w:t>
            </w:r>
          </w:p>
        </w:tc>
      </w:tr>
      <w:tr w14:paraId="4E7E5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090" w:type="dxa"/>
            <w:tcBorders>
              <w:left w:val="single" w:color="000000" w:sz="2" w:space="0"/>
            </w:tcBorders>
            <w:shd w:val="clear" w:color="auto" w:fill="auto"/>
            <w:vAlign w:val="top"/>
          </w:tcPr>
          <w:p w14:paraId="7D54ECC6">
            <w:pPr>
              <w:pStyle w:val="66"/>
              <w:spacing w:before="86" w:line="221" w:lineRule="auto"/>
              <w:jc w:val="center"/>
              <w:rPr>
                <w:rFonts w:hint="eastAsia" w:ascii="宋体" w:hAnsi="宋体" w:eastAsia="宋体" w:cs="宋体"/>
                <w:kern w:val="2"/>
                <w:sz w:val="21"/>
                <w:szCs w:val="21"/>
                <w:lang w:val="en-US" w:eastAsia="en-US" w:bidi="ar-SA"/>
              </w:rPr>
            </w:pPr>
            <w:r>
              <w:rPr>
                <w:rFonts w:hint="eastAsia" w:ascii="宋体" w:hAnsi="宋体" w:eastAsia="宋体" w:cs="宋体"/>
                <w:b/>
                <w:bCs/>
                <w:spacing w:val="-5"/>
                <w:sz w:val="21"/>
                <w:szCs w:val="21"/>
              </w:rPr>
              <w:t>合计</w:t>
            </w:r>
          </w:p>
        </w:tc>
        <w:tc>
          <w:tcPr>
            <w:tcW w:w="1536" w:type="dxa"/>
            <w:shd w:val="clear" w:color="auto" w:fill="auto"/>
            <w:vAlign w:val="top"/>
          </w:tcPr>
          <w:p w14:paraId="576231FA">
            <w:pPr>
              <w:jc w:val="both"/>
              <w:rPr>
                <w:rFonts w:hint="eastAsia" w:ascii="宋体" w:hAnsi="宋体" w:eastAsia="宋体" w:cs="宋体"/>
                <w:kern w:val="2"/>
                <w:sz w:val="21"/>
                <w:szCs w:val="21"/>
                <w:lang w:val="en-US" w:eastAsia="zh-CN" w:bidi="ar-SA"/>
              </w:rPr>
            </w:pPr>
          </w:p>
        </w:tc>
        <w:tc>
          <w:tcPr>
            <w:tcW w:w="4757" w:type="dxa"/>
            <w:shd w:val="clear" w:color="auto" w:fill="auto"/>
            <w:vAlign w:val="top"/>
          </w:tcPr>
          <w:p w14:paraId="4D1F9B89">
            <w:pPr>
              <w:pStyle w:val="66"/>
              <w:spacing w:before="85" w:line="220" w:lineRule="auto"/>
              <w:ind w:left="121" w:leftChars="0"/>
              <w:jc w:val="both"/>
              <w:rPr>
                <w:rFonts w:hint="eastAsia" w:ascii="宋体" w:hAnsi="宋体" w:eastAsia="宋体" w:cs="宋体"/>
                <w:kern w:val="2"/>
                <w:sz w:val="21"/>
                <w:szCs w:val="21"/>
                <w:lang w:val="en-US" w:eastAsia="en-US" w:bidi="ar-SA"/>
              </w:rPr>
            </w:pPr>
          </w:p>
        </w:tc>
        <w:tc>
          <w:tcPr>
            <w:tcW w:w="1075" w:type="dxa"/>
            <w:shd w:val="clear" w:color="auto" w:fill="auto"/>
            <w:vAlign w:val="top"/>
          </w:tcPr>
          <w:p w14:paraId="320DB931">
            <w:pPr>
              <w:pStyle w:val="66"/>
              <w:spacing w:before="61" w:line="220" w:lineRule="auto"/>
              <w:ind w:left="171" w:leftChars="0"/>
              <w:jc w:val="both"/>
              <w:rPr>
                <w:rFonts w:hint="eastAsia" w:ascii="宋体" w:hAnsi="宋体" w:eastAsia="宋体" w:cs="宋体"/>
                <w:b/>
                <w:bCs/>
                <w:spacing w:val="-2"/>
                <w:sz w:val="21"/>
                <w:szCs w:val="21"/>
              </w:rPr>
            </w:pPr>
            <w:r>
              <w:rPr>
                <w:rFonts w:hint="eastAsia" w:ascii="宋体" w:hAnsi="宋体" w:eastAsia="宋体" w:cs="宋体"/>
                <w:b/>
                <w:bCs/>
                <w:spacing w:val="-1"/>
                <w:sz w:val="21"/>
                <w:szCs w:val="21"/>
              </w:rPr>
              <w:t>100分</w:t>
            </w:r>
          </w:p>
        </w:tc>
      </w:tr>
    </w:tbl>
    <w:p w14:paraId="3624369F">
      <w:pPr>
        <w:spacing w:line="43" w:lineRule="exact"/>
        <w:rPr>
          <w:rFonts w:ascii="Arial"/>
          <w:sz w:val="3"/>
        </w:rPr>
      </w:pPr>
    </w:p>
    <w:p w14:paraId="13CEAF53">
      <w:pPr>
        <w:spacing w:line="53" w:lineRule="exact"/>
        <w:rPr>
          <w:rFonts w:ascii="Arial"/>
          <w:sz w:val="4"/>
        </w:rPr>
      </w:pPr>
    </w:p>
    <w:p w14:paraId="31D538EB">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p>
    <w:p w14:paraId="2CDAB47D">
      <w:pPr>
        <w:numPr>
          <w:ilvl w:val="0"/>
          <w:numId w:val="0"/>
        </w:numPr>
        <w:spacing w:line="360" w:lineRule="auto"/>
        <w:rPr>
          <w:b/>
          <w:bCs/>
          <w:color w:val="auto"/>
          <w:highlight w:val="none"/>
        </w:rPr>
        <w:sectPr>
          <w:pgSz w:w="11906" w:h="16838"/>
          <w:pgMar w:top="1440" w:right="1800" w:bottom="1440" w:left="1800" w:header="851" w:footer="992" w:gutter="0"/>
          <w:pgNumType w:fmt="numberInDash"/>
          <w:cols w:space="720" w:num="1"/>
          <w:docGrid w:type="lines" w:linePitch="312" w:charSpace="0"/>
        </w:sectPr>
      </w:pPr>
      <w:r>
        <w:rPr>
          <w:color w:val="auto"/>
          <w:highlight w:val="none"/>
        </w:rPr>
        <w:br w:type="textWrapping"/>
      </w:r>
    </w:p>
    <w:bookmarkEnd w:id="121"/>
    <w:p w14:paraId="410AA770">
      <w:pPr>
        <w:tabs>
          <w:tab w:val="left" w:pos="3629"/>
        </w:tabs>
        <w:spacing w:line="360" w:lineRule="auto"/>
        <w:ind w:firstLine="200"/>
        <w:jc w:val="center"/>
        <w:rPr>
          <w:rFonts w:ascii="宋体" w:hAnsi="宋体"/>
          <w:b/>
          <w:bCs/>
          <w:color w:val="auto"/>
          <w:sz w:val="36"/>
          <w:highlight w:val="none"/>
        </w:rPr>
      </w:pPr>
      <w:bookmarkStart w:id="122" w:name="_Toc497145844"/>
    </w:p>
    <w:p w14:paraId="27956702">
      <w:pPr>
        <w:tabs>
          <w:tab w:val="left" w:pos="3629"/>
        </w:tabs>
        <w:spacing w:line="360" w:lineRule="auto"/>
        <w:ind w:firstLine="200"/>
        <w:jc w:val="center"/>
        <w:rPr>
          <w:rFonts w:ascii="宋体"/>
          <w:color w:val="auto"/>
          <w:sz w:val="36"/>
          <w:highlight w:val="none"/>
        </w:rPr>
      </w:pPr>
      <w:r>
        <w:rPr>
          <w:rFonts w:hint="eastAsia" w:ascii="宋体" w:hAnsi="宋体"/>
          <w:b/>
          <w:bCs/>
          <w:color w:val="auto"/>
          <w:sz w:val="36"/>
          <w:highlight w:val="none"/>
        </w:rPr>
        <w:t>第六章竞争性磋商响应文件格式</w:t>
      </w:r>
      <w:bookmarkEnd w:id="122"/>
    </w:p>
    <w:p w14:paraId="28893D91">
      <w:pPr>
        <w:spacing w:line="360" w:lineRule="auto"/>
        <w:jc w:val="center"/>
        <w:rPr>
          <w:rFonts w:ascii="宋体"/>
          <w:b/>
          <w:color w:val="auto"/>
          <w:sz w:val="36"/>
          <w:highlight w:val="none"/>
        </w:rPr>
      </w:pPr>
    </w:p>
    <w:p w14:paraId="351530A8">
      <w:pPr>
        <w:spacing w:line="360" w:lineRule="auto"/>
        <w:jc w:val="center"/>
        <w:rPr>
          <w:rFonts w:ascii="宋体"/>
          <w:b/>
          <w:color w:val="auto"/>
          <w:szCs w:val="21"/>
          <w:highlight w:val="none"/>
        </w:rPr>
      </w:pPr>
    </w:p>
    <w:p w14:paraId="043E09F1">
      <w:pPr>
        <w:spacing w:line="360" w:lineRule="auto"/>
        <w:jc w:val="center"/>
        <w:rPr>
          <w:rFonts w:ascii="宋体"/>
          <w:b/>
          <w:color w:val="auto"/>
          <w:sz w:val="22"/>
          <w:szCs w:val="21"/>
          <w:highlight w:val="none"/>
        </w:rPr>
      </w:pPr>
    </w:p>
    <w:p w14:paraId="5274A572">
      <w:pPr>
        <w:spacing w:line="360" w:lineRule="auto"/>
        <w:jc w:val="center"/>
        <w:rPr>
          <w:rFonts w:ascii="宋体"/>
          <w:b/>
          <w:color w:val="auto"/>
          <w:sz w:val="72"/>
          <w:highlight w:val="none"/>
        </w:rPr>
      </w:pPr>
      <w:bookmarkStart w:id="123" w:name="OLE_LINK137"/>
      <w:bookmarkEnd w:id="123"/>
      <w:bookmarkStart w:id="124" w:name="OLE_LINK141"/>
      <w:bookmarkEnd w:id="124"/>
    </w:p>
    <w:p w14:paraId="5E60E731">
      <w:pPr>
        <w:pStyle w:val="3"/>
        <w:spacing w:line="360" w:lineRule="auto"/>
        <w:rPr>
          <w:rFonts w:ascii="宋体" w:hAnsi="宋体" w:cs="Arial"/>
          <w:bCs w:val="0"/>
          <w:color w:val="auto"/>
          <w:highlight w:val="none"/>
        </w:rPr>
      </w:pPr>
      <w:bookmarkStart w:id="125" w:name="OLE_LINK144"/>
      <w:bookmarkEnd w:id="125"/>
      <w:bookmarkStart w:id="126" w:name="_Toc497145845"/>
      <w:r>
        <w:rPr>
          <w:rFonts w:hint="eastAsia" w:ascii="宋体" w:hAnsi="宋体" w:cs="Arial"/>
          <w:bCs w:val="0"/>
          <w:color w:val="auto"/>
          <w:highlight w:val="none"/>
        </w:rPr>
        <w:t>竞争性磋商响应文件</w:t>
      </w:r>
      <w:bookmarkEnd w:id="126"/>
    </w:p>
    <w:p w14:paraId="5626F0F5">
      <w:pPr>
        <w:pStyle w:val="6"/>
        <w:spacing w:line="360" w:lineRule="auto"/>
        <w:jc w:val="center"/>
        <w:rPr>
          <w:b/>
          <w:bCs/>
          <w:color w:val="auto"/>
          <w:sz w:val="44"/>
          <w:szCs w:val="44"/>
          <w:highlight w:val="none"/>
        </w:rPr>
      </w:pPr>
      <w:r>
        <w:rPr>
          <w:rFonts w:hint="eastAsia" w:ascii="宋体" w:hAnsi="宋体" w:cs="Arial"/>
          <w:b/>
          <w:bCs/>
          <w:color w:val="auto"/>
          <w:sz w:val="44"/>
          <w:szCs w:val="44"/>
          <w:highlight w:val="none"/>
        </w:rPr>
        <w:t>（正或副本）</w:t>
      </w:r>
    </w:p>
    <w:p w14:paraId="11B665E5">
      <w:pPr>
        <w:spacing w:line="360" w:lineRule="auto"/>
        <w:jc w:val="center"/>
        <w:rPr>
          <w:rFonts w:ascii="宋体"/>
          <w:b/>
          <w:color w:val="auto"/>
          <w:sz w:val="36"/>
          <w:highlight w:val="none"/>
        </w:rPr>
      </w:pPr>
    </w:p>
    <w:p w14:paraId="3045001C">
      <w:pPr>
        <w:spacing w:line="360" w:lineRule="auto"/>
        <w:jc w:val="center"/>
        <w:rPr>
          <w:rFonts w:ascii="宋体"/>
          <w:b/>
          <w:color w:val="auto"/>
          <w:sz w:val="36"/>
          <w:highlight w:val="none"/>
        </w:rPr>
      </w:pPr>
    </w:p>
    <w:p w14:paraId="44D541CB">
      <w:pPr>
        <w:spacing w:line="360" w:lineRule="auto"/>
        <w:ind w:firstLine="1084" w:firstLineChars="300"/>
        <w:rPr>
          <w:rFonts w:ascii="宋体" w:hAnsi="宋体"/>
          <w:b/>
          <w:color w:val="auto"/>
          <w:sz w:val="36"/>
          <w:highlight w:val="none"/>
        </w:rPr>
      </w:pPr>
      <w:r>
        <w:rPr>
          <w:rFonts w:hint="eastAsia" w:ascii="宋体" w:hAnsi="宋体"/>
          <w:b/>
          <w:color w:val="auto"/>
          <w:sz w:val="36"/>
          <w:highlight w:val="none"/>
        </w:rPr>
        <w:t>项目名称：</w:t>
      </w:r>
    </w:p>
    <w:p w14:paraId="50DE3B50">
      <w:pPr>
        <w:spacing w:line="360" w:lineRule="auto"/>
        <w:ind w:firstLine="1084" w:firstLineChars="300"/>
        <w:rPr>
          <w:rFonts w:ascii="宋体"/>
          <w:b/>
          <w:color w:val="auto"/>
          <w:sz w:val="36"/>
          <w:highlight w:val="none"/>
          <w:u w:val="single"/>
        </w:rPr>
      </w:pPr>
      <w:r>
        <w:rPr>
          <w:rFonts w:hint="eastAsia" w:ascii="宋体" w:hAnsi="宋体"/>
          <w:b/>
          <w:color w:val="auto"/>
          <w:sz w:val="36"/>
          <w:highlight w:val="none"/>
        </w:rPr>
        <w:t>项目编号：</w:t>
      </w:r>
    </w:p>
    <w:p w14:paraId="398F31B4">
      <w:pPr>
        <w:spacing w:line="360" w:lineRule="auto"/>
        <w:ind w:firstLine="1084" w:firstLineChars="300"/>
        <w:rPr>
          <w:rFonts w:ascii="宋体"/>
          <w:b/>
          <w:color w:val="auto"/>
          <w:sz w:val="36"/>
          <w:highlight w:val="none"/>
          <w:u w:val="single"/>
        </w:rPr>
      </w:pPr>
      <w:r>
        <w:rPr>
          <w:rFonts w:hint="eastAsia" w:ascii="宋体" w:hAnsi="宋体"/>
          <w:b/>
          <w:color w:val="auto"/>
          <w:sz w:val="36"/>
          <w:highlight w:val="none"/>
        </w:rPr>
        <w:t>磋商供应商名称：</w:t>
      </w:r>
    </w:p>
    <w:p w14:paraId="7EAD0C6F">
      <w:pPr>
        <w:spacing w:line="360" w:lineRule="auto"/>
        <w:ind w:firstLine="1084" w:firstLineChars="300"/>
        <w:rPr>
          <w:rFonts w:ascii="宋体"/>
          <w:b/>
          <w:color w:val="auto"/>
          <w:sz w:val="36"/>
          <w:highlight w:val="none"/>
        </w:rPr>
      </w:pPr>
      <w:r>
        <w:rPr>
          <w:rFonts w:hint="eastAsia" w:ascii="宋体" w:hAnsi="宋体"/>
          <w:b/>
          <w:color w:val="auto"/>
          <w:sz w:val="36"/>
          <w:highlight w:val="none"/>
        </w:rPr>
        <w:t>日期：</w:t>
      </w:r>
    </w:p>
    <w:p w14:paraId="014272F4">
      <w:pPr>
        <w:spacing w:before="312" w:beforeLines="100" w:after="312" w:afterLines="100" w:line="360" w:lineRule="auto"/>
        <w:rPr>
          <w:rFonts w:ascii="宋体"/>
          <w:color w:val="auto"/>
          <w:sz w:val="24"/>
          <w:highlight w:val="none"/>
        </w:rPr>
      </w:pPr>
    </w:p>
    <w:p w14:paraId="2B70D4F0">
      <w:pPr>
        <w:spacing w:before="312" w:beforeLines="100" w:after="312" w:afterLines="100" w:line="360" w:lineRule="auto"/>
        <w:jc w:val="center"/>
        <w:rPr>
          <w:rFonts w:ascii="宋体"/>
          <w:color w:val="auto"/>
          <w:sz w:val="24"/>
          <w:highlight w:val="none"/>
        </w:rPr>
      </w:pPr>
    </w:p>
    <w:p w14:paraId="1C130D36">
      <w:pPr>
        <w:autoSpaceDE w:val="0"/>
        <w:autoSpaceDN w:val="0"/>
        <w:adjustRightInd w:val="0"/>
        <w:spacing w:line="360" w:lineRule="auto"/>
        <w:rPr>
          <w:rFonts w:ascii="宋体"/>
          <w:b/>
          <w:bCs/>
          <w:color w:val="auto"/>
          <w:sz w:val="28"/>
          <w:szCs w:val="28"/>
          <w:highlight w:val="none"/>
        </w:rPr>
      </w:pPr>
      <w:r>
        <w:rPr>
          <w:rFonts w:hint="eastAsia" w:ascii="宋体" w:hAnsi="宋体" w:cs="宋体"/>
          <w:b/>
          <w:bCs/>
          <w:color w:val="auto"/>
          <w:sz w:val="28"/>
          <w:szCs w:val="28"/>
          <w:highlight w:val="none"/>
          <w:lang w:val="zh-CN"/>
        </w:rPr>
        <w:t>说明：</w:t>
      </w:r>
    </w:p>
    <w:p w14:paraId="133A9C8A">
      <w:pPr>
        <w:autoSpaceDE w:val="0"/>
        <w:autoSpaceDN w:val="0"/>
        <w:adjustRightInd w:val="0"/>
        <w:spacing w:line="360" w:lineRule="auto"/>
        <w:ind w:firstLine="618" w:firstLineChars="220"/>
        <w:rPr>
          <w:rFonts w:ascii="宋体"/>
          <w:b/>
          <w:bCs/>
          <w:color w:val="auto"/>
          <w:sz w:val="28"/>
          <w:szCs w:val="28"/>
          <w:highlight w:val="none"/>
        </w:rPr>
      </w:pPr>
      <w:r>
        <w:rPr>
          <w:rFonts w:hint="eastAsia" w:ascii="宋体" w:hAnsi="宋体" w:cs="宋体"/>
          <w:b/>
          <w:bCs/>
          <w:color w:val="auto"/>
          <w:sz w:val="28"/>
          <w:szCs w:val="28"/>
          <w:highlight w:val="none"/>
          <w:lang w:val="zh-CN"/>
        </w:rPr>
        <w:t>对本章所有的响应文件格式，供应商可根据自身情况进行补充和修改，但补充和修改不得造成与本格式内容有实质性的违背。</w:t>
      </w:r>
    </w:p>
    <w:p w14:paraId="4F65C55E">
      <w:pPr>
        <w:pStyle w:val="14"/>
        <w:snapToGrid w:val="0"/>
        <w:spacing w:before="120" w:after="120" w:line="360" w:lineRule="auto"/>
        <w:rPr>
          <w:rFonts w:eastAsia="黑体"/>
          <w:bCs/>
          <w:sz w:val="28"/>
          <w:szCs w:val="28"/>
        </w:rPr>
      </w:pPr>
      <w:r>
        <w:rPr>
          <w:rFonts w:ascii="宋体"/>
          <w:color w:val="auto"/>
          <w:sz w:val="24"/>
          <w:highlight w:val="none"/>
        </w:rPr>
        <w:br w:type="page"/>
      </w:r>
      <w:r>
        <w:rPr>
          <w:rFonts w:eastAsia="黑体"/>
          <w:bCs/>
          <w:sz w:val="28"/>
          <w:szCs w:val="28"/>
        </w:rPr>
        <w:t>附件</w:t>
      </w:r>
      <w:r>
        <w:rPr>
          <w:rFonts w:hint="eastAsia" w:eastAsia="黑体"/>
          <w:bCs/>
          <w:sz w:val="28"/>
          <w:szCs w:val="28"/>
        </w:rPr>
        <w:t>一：</w:t>
      </w:r>
      <w:r>
        <w:rPr>
          <w:rFonts w:eastAsia="黑体"/>
          <w:bCs/>
          <w:sz w:val="28"/>
          <w:szCs w:val="28"/>
        </w:rPr>
        <w:t>（响应文件格式）</w:t>
      </w:r>
    </w:p>
    <w:p w14:paraId="604D3A4F">
      <w:pPr>
        <w:rPr>
          <w:b/>
          <w:bCs/>
          <w:sz w:val="24"/>
          <w:szCs w:val="24"/>
        </w:rPr>
      </w:pPr>
    </w:p>
    <w:p w14:paraId="74BDE949">
      <w:pPr>
        <w:rPr>
          <w:rFonts w:eastAsia="黑体"/>
          <w:bCs/>
          <w:sz w:val="32"/>
        </w:rPr>
      </w:pPr>
    </w:p>
    <w:p w14:paraId="4C790285">
      <w:pPr>
        <w:jc w:val="center"/>
        <w:rPr>
          <w:rFonts w:eastAsia="黑体"/>
          <w:bCs/>
          <w:sz w:val="52"/>
          <w:szCs w:val="52"/>
        </w:rPr>
      </w:pPr>
      <w:r>
        <w:rPr>
          <w:rFonts w:eastAsia="黑体"/>
          <w:bCs/>
          <w:sz w:val="52"/>
          <w:szCs w:val="52"/>
        </w:rPr>
        <w:t>响</w:t>
      </w:r>
    </w:p>
    <w:p w14:paraId="3081EF70">
      <w:pPr>
        <w:jc w:val="center"/>
        <w:rPr>
          <w:rFonts w:eastAsia="黑体"/>
          <w:bCs/>
          <w:sz w:val="72"/>
        </w:rPr>
      </w:pPr>
    </w:p>
    <w:p w14:paraId="0AFFA8E9">
      <w:pPr>
        <w:jc w:val="center"/>
        <w:rPr>
          <w:rFonts w:eastAsia="黑体"/>
          <w:bCs/>
          <w:sz w:val="52"/>
          <w:szCs w:val="52"/>
        </w:rPr>
      </w:pPr>
      <w:r>
        <w:rPr>
          <w:rFonts w:eastAsia="黑体"/>
          <w:bCs/>
          <w:sz w:val="52"/>
          <w:szCs w:val="52"/>
        </w:rPr>
        <w:t>应</w:t>
      </w:r>
    </w:p>
    <w:p w14:paraId="24CB1297">
      <w:pPr>
        <w:jc w:val="center"/>
        <w:rPr>
          <w:rFonts w:eastAsia="黑体"/>
          <w:bCs/>
          <w:sz w:val="72"/>
        </w:rPr>
      </w:pPr>
    </w:p>
    <w:p w14:paraId="7AFD870B">
      <w:pPr>
        <w:jc w:val="center"/>
        <w:rPr>
          <w:rFonts w:eastAsia="黑体"/>
          <w:bCs/>
          <w:sz w:val="52"/>
          <w:szCs w:val="52"/>
        </w:rPr>
      </w:pPr>
      <w:r>
        <w:rPr>
          <w:rFonts w:eastAsia="黑体"/>
          <w:bCs/>
          <w:sz w:val="52"/>
          <w:szCs w:val="52"/>
        </w:rPr>
        <w:t>文</w:t>
      </w:r>
    </w:p>
    <w:p w14:paraId="1B7D3580">
      <w:pPr>
        <w:jc w:val="center"/>
        <w:rPr>
          <w:rFonts w:eastAsia="黑体"/>
          <w:bCs/>
          <w:sz w:val="52"/>
          <w:szCs w:val="52"/>
        </w:rPr>
      </w:pPr>
    </w:p>
    <w:p w14:paraId="2D0960A4">
      <w:pPr>
        <w:jc w:val="center"/>
        <w:rPr>
          <w:rFonts w:eastAsia="黑体"/>
          <w:bCs/>
          <w:sz w:val="52"/>
          <w:szCs w:val="52"/>
        </w:rPr>
      </w:pPr>
      <w:r>
        <w:rPr>
          <w:rFonts w:eastAsia="黑体"/>
          <w:bCs/>
          <w:sz w:val="52"/>
          <w:szCs w:val="52"/>
        </w:rPr>
        <w:t>件</w:t>
      </w:r>
    </w:p>
    <w:p w14:paraId="79CFCD2B">
      <w:pPr>
        <w:rPr>
          <w:rFonts w:eastAsia="楷体_GB2312"/>
          <w:bCs/>
          <w:sz w:val="72"/>
        </w:rPr>
      </w:pPr>
    </w:p>
    <w:p w14:paraId="15F9F883">
      <w:pPr>
        <w:ind w:firstLine="700" w:firstLineChars="250"/>
        <w:rPr>
          <w:rFonts w:eastAsia="黑体"/>
          <w:bCs/>
          <w:sz w:val="28"/>
          <w:szCs w:val="28"/>
        </w:rPr>
      </w:pPr>
    </w:p>
    <w:p w14:paraId="0EF46488">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02D4A4A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00998315">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60DE568A">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w:t>
      </w:r>
      <w:r>
        <w:rPr>
          <w:rFonts w:hint="eastAsia" w:ascii="黑体" w:hAnsi="黑体" w:eastAsia="黑体"/>
          <w:bCs/>
          <w:sz w:val="28"/>
          <w:szCs w:val="28"/>
          <w:lang w:val="en-US" w:eastAsia="zh-CN"/>
        </w:rPr>
        <w:t>5</w:t>
      </w:r>
      <w:r>
        <w:rPr>
          <w:rFonts w:hint="eastAsia" w:ascii="黑体" w:hAnsi="黑体" w:eastAsia="黑体"/>
          <w:bCs/>
          <w:sz w:val="28"/>
          <w:szCs w:val="28"/>
        </w:rPr>
        <w:t>年  月  日</w:t>
      </w:r>
    </w:p>
    <w:p w14:paraId="5425FC04">
      <w:pPr>
        <w:outlineLvl w:val="0"/>
        <w:rPr>
          <w:rFonts w:eastAsia="黑体"/>
          <w:b/>
          <w:bCs/>
          <w:sz w:val="24"/>
          <w:szCs w:val="24"/>
        </w:rPr>
      </w:pPr>
    </w:p>
    <w:p w14:paraId="6D1EE346">
      <w:pPr>
        <w:outlineLvl w:val="0"/>
        <w:rPr>
          <w:rFonts w:eastAsia="黑体"/>
          <w:b/>
          <w:bCs/>
          <w:sz w:val="24"/>
          <w:szCs w:val="24"/>
        </w:rPr>
      </w:pPr>
    </w:p>
    <w:p w14:paraId="05A48B5D">
      <w:pPr>
        <w:outlineLvl w:val="0"/>
        <w:rPr>
          <w:rFonts w:eastAsia="黑体"/>
          <w:b/>
          <w:bCs/>
          <w:sz w:val="24"/>
          <w:szCs w:val="24"/>
        </w:rPr>
      </w:pPr>
    </w:p>
    <w:p w14:paraId="55908BD3">
      <w:pPr>
        <w:ind w:firstLine="482" w:firstLineChars="200"/>
        <w:outlineLvl w:val="0"/>
        <w:rPr>
          <w:rFonts w:eastAsia="黑体"/>
          <w:b/>
          <w:bCs/>
          <w:sz w:val="24"/>
          <w:szCs w:val="24"/>
        </w:rPr>
      </w:pPr>
    </w:p>
    <w:p w14:paraId="06A45F56">
      <w:pPr>
        <w:ind w:firstLine="482" w:firstLineChars="200"/>
        <w:outlineLvl w:val="0"/>
        <w:rPr>
          <w:rFonts w:eastAsia="黑体"/>
          <w:b/>
          <w:bCs/>
          <w:sz w:val="24"/>
          <w:szCs w:val="24"/>
        </w:rPr>
      </w:pPr>
    </w:p>
    <w:p w14:paraId="1E22B142">
      <w:pPr>
        <w:outlineLvl w:val="0"/>
        <w:rPr>
          <w:b/>
          <w:bCs/>
          <w:sz w:val="24"/>
          <w:szCs w:val="24"/>
        </w:rPr>
      </w:pPr>
    </w:p>
    <w:p w14:paraId="2B193C08">
      <w:pPr>
        <w:spacing w:line="360" w:lineRule="auto"/>
        <w:jc w:val="center"/>
        <w:rPr>
          <w:bCs/>
          <w:sz w:val="24"/>
          <w:szCs w:val="24"/>
        </w:rPr>
      </w:pPr>
      <w:r>
        <w:rPr>
          <w:rFonts w:hint="eastAsia" w:eastAsia="黑体"/>
          <w:bCs/>
          <w:sz w:val="24"/>
          <w:szCs w:val="24"/>
          <w:lang w:val="en-US" w:eastAsia="zh-CN"/>
        </w:rPr>
        <w:t>磋商</w:t>
      </w:r>
      <w:r>
        <w:rPr>
          <w:rFonts w:eastAsia="黑体"/>
          <w:bCs/>
          <w:sz w:val="24"/>
          <w:szCs w:val="24"/>
        </w:rPr>
        <w:t>响应函</w:t>
      </w:r>
    </w:p>
    <w:p w14:paraId="55CAC053">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0F313BA9">
      <w:pPr>
        <w:spacing w:line="400" w:lineRule="exact"/>
        <w:ind w:firstLine="420" w:firstLineChars="20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4D3986E3">
      <w:pPr>
        <w:numPr>
          <w:ilvl w:val="0"/>
          <w:numId w:val="3"/>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66EF42C7">
      <w:pPr>
        <w:numPr>
          <w:ilvl w:val="0"/>
          <w:numId w:val="3"/>
        </w:numPr>
        <w:tabs>
          <w:tab w:val="left" w:pos="0"/>
          <w:tab w:val="left" w:pos="315"/>
          <w:tab w:val="left" w:pos="525"/>
          <w:tab w:val="left" w:pos="840"/>
          <w:tab w:val="left" w:pos="945"/>
          <w:tab w:val="left" w:pos="1050"/>
        </w:tabs>
        <w:spacing w:line="400" w:lineRule="exact"/>
        <w:ind w:left="0" w:firstLine="457" w:firstLineChars="218"/>
        <w:rPr>
          <w:rStyle w:val="34"/>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34"/>
          <w:rFonts w:cs="Times New Roman" w:asciiTheme="minorEastAsia" w:hAnsiTheme="minorEastAsia" w:eastAsiaTheme="minorEastAsia"/>
        </w:rPr>
        <w:t>：</w:t>
      </w:r>
    </w:p>
    <w:p w14:paraId="138AE351">
      <w:pPr>
        <w:numPr>
          <w:ilvl w:val="0"/>
          <w:numId w:val="4"/>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667B37CE">
      <w:pPr>
        <w:numPr>
          <w:ilvl w:val="0"/>
          <w:numId w:val="4"/>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26AEAAE5">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53AC16DC">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24A0CE6C">
      <w:pPr>
        <w:numPr>
          <w:ilvl w:val="0"/>
          <w:numId w:val="4"/>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1C9EE547">
      <w:pPr>
        <w:numPr>
          <w:ilvl w:val="0"/>
          <w:numId w:val="4"/>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70E9BC1A">
      <w:pPr>
        <w:numPr>
          <w:ilvl w:val="0"/>
          <w:numId w:val="3"/>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6DA911EC">
      <w:pPr>
        <w:numPr>
          <w:ilvl w:val="0"/>
          <w:numId w:val="3"/>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170FA7AE">
      <w:pPr>
        <w:numPr>
          <w:ilvl w:val="0"/>
          <w:numId w:val="3"/>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0F25E4CB">
      <w:pPr>
        <w:numPr>
          <w:ilvl w:val="0"/>
          <w:numId w:val="3"/>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22D7EB88">
      <w:pPr>
        <w:numPr>
          <w:ilvl w:val="0"/>
          <w:numId w:val="3"/>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4D22FEF6">
      <w:pPr>
        <w:spacing w:line="400" w:lineRule="exact"/>
        <w:ind w:firstLine="630" w:firstLineChars="300"/>
        <w:rPr>
          <w:rFonts w:asciiTheme="minorEastAsia" w:hAnsiTheme="minorEastAsia"/>
          <w:bCs/>
          <w:szCs w:val="21"/>
        </w:rPr>
      </w:pPr>
    </w:p>
    <w:p w14:paraId="1EF14469">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743B033E">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DB260F3">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77E8A1A9">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43E6E660">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174CCB7D">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29094DF4">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48BEEC88">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7D14A4E9">
      <w:pPr>
        <w:outlineLvl w:val="0"/>
        <w:rPr>
          <w:rFonts w:eastAsia="黑体"/>
          <w:b/>
          <w:bCs/>
          <w:sz w:val="24"/>
          <w:szCs w:val="24"/>
        </w:rPr>
      </w:pPr>
    </w:p>
    <w:p w14:paraId="16DD3BCC">
      <w:pPr>
        <w:outlineLvl w:val="0"/>
        <w:rPr>
          <w:rFonts w:eastAsia="黑体"/>
          <w:b/>
          <w:bCs/>
          <w:sz w:val="24"/>
          <w:szCs w:val="24"/>
        </w:rPr>
      </w:pPr>
    </w:p>
    <w:p w14:paraId="243E4552">
      <w:pPr>
        <w:outlineLvl w:val="0"/>
        <w:rPr>
          <w:rFonts w:eastAsia="黑体"/>
          <w:b/>
          <w:bCs/>
          <w:sz w:val="24"/>
          <w:szCs w:val="24"/>
        </w:rPr>
      </w:pPr>
    </w:p>
    <w:p w14:paraId="60F1B048">
      <w:pPr>
        <w:jc w:val="center"/>
        <w:outlineLvl w:val="0"/>
        <w:rPr>
          <w:rFonts w:eastAsia="黑体"/>
          <w:bCs/>
          <w:sz w:val="24"/>
          <w:szCs w:val="24"/>
        </w:rPr>
      </w:pPr>
      <w:bookmarkStart w:id="127" w:name="报价方关于资格的声明函（格式）"/>
      <w:bookmarkEnd w:id="127"/>
      <w:r>
        <w:rPr>
          <w:rFonts w:eastAsia="黑体"/>
          <w:bCs/>
          <w:sz w:val="24"/>
          <w:szCs w:val="24"/>
        </w:rPr>
        <w:t>资格声明</w:t>
      </w:r>
    </w:p>
    <w:p w14:paraId="1D8CE2E0">
      <w:pPr>
        <w:tabs>
          <w:tab w:val="left" w:pos="6300"/>
        </w:tabs>
        <w:spacing w:line="480" w:lineRule="auto"/>
        <w:jc w:val="center"/>
        <w:rPr>
          <w:bCs/>
          <w:szCs w:val="21"/>
        </w:rPr>
      </w:pPr>
      <w:r>
        <w:rPr>
          <w:bCs/>
          <w:szCs w:val="21"/>
        </w:rPr>
        <w:t xml:space="preserve">           </w:t>
      </w:r>
    </w:p>
    <w:p w14:paraId="466244A8">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19B034B9">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7B20368F">
      <w:pPr>
        <w:spacing w:line="360" w:lineRule="auto"/>
        <w:rPr>
          <w:bCs/>
          <w:szCs w:val="21"/>
        </w:rPr>
      </w:pPr>
      <w:r>
        <w:rPr>
          <w:bCs/>
          <w:szCs w:val="21"/>
        </w:rPr>
        <w:t xml:space="preserve">                                     </w:t>
      </w:r>
      <w:r>
        <w:rPr>
          <w:rFonts w:hAnsi="宋体"/>
          <w:bCs/>
          <w:szCs w:val="21"/>
        </w:rPr>
        <w:t>供应商（盖章）：</w:t>
      </w:r>
    </w:p>
    <w:p w14:paraId="63805EB4">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1FAC2B70">
      <w:pPr>
        <w:spacing w:line="360" w:lineRule="auto"/>
        <w:rPr>
          <w:bCs/>
          <w:szCs w:val="21"/>
        </w:rPr>
      </w:pPr>
      <w:r>
        <w:rPr>
          <w:rFonts w:hint="eastAsia" w:hAnsi="宋体"/>
          <w:bCs/>
          <w:szCs w:val="21"/>
        </w:rPr>
        <w:t xml:space="preserve">                                     日期：   年   月    日</w:t>
      </w:r>
    </w:p>
    <w:p w14:paraId="735B69C0">
      <w:pPr>
        <w:outlineLvl w:val="0"/>
        <w:rPr>
          <w:rFonts w:eastAsia="黑体"/>
          <w:b/>
          <w:bCs/>
          <w:sz w:val="24"/>
          <w:szCs w:val="24"/>
        </w:rPr>
      </w:pPr>
    </w:p>
    <w:p w14:paraId="693C4B56">
      <w:pPr>
        <w:pStyle w:val="10"/>
        <w:rPr>
          <w:rFonts w:eastAsia="黑体"/>
          <w:b/>
          <w:bCs/>
          <w:sz w:val="24"/>
          <w:szCs w:val="24"/>
        </w:rPr>
      </w:pPr>
    </w:p>
    <w:p w14:paraId="2E14F256">
      <w:pPr>
        <w:pStyle w:val="11"/>
        <w:rPr>
          <w:rFonts w:eastAsia="黑体"/>
          <w:b/>
          <w:bCs/>
          <w:sz w:val="24"/>
          <w:szCs w:val="24"/>
        </w:rPr>
      </w:pPr>
    </w:p>
    <w:p w14:paraId="5CB0497B">
      <w:pPr>
        <w:pStyle w:val="11"/>
        <w:rPr>
          <w:rFonts w:eastAsia="黑体"/>
          <w:b/>
          <w:bCs/>
          <w:sz w:val="24"/>
          <w:szCs w:val="24"/>
        </w:rPr>
      </w:pPr>
    </w:p>
    <w:p w14:paraId="69C62888">
      <w:pPr>
        <w:pStyle w:val="11"/>
        <w:rPr>
          <w:rFonts w:eastAsia="黑体"/>
          <w:b/>
          <w:bCs/>
          <w:sz w:val="24"/>
          <w:szCs w:val="24"/>
        </w:rPr>
      </w:pPr>
    </w:p>
    <w:p w14:paraId="510167CC">
      <w:pPr>
        <w:pStyle w:val="11"/>
        <w:rPr>
          <w:rFonts w:eastAsia="黑体"/>
          <w:b/>
          <w:bCs/>
          <w:sz w:val="24"/>
          <w:szCs w:val="24"/>
        </w:rPr>
      </w:pPr>
    </w:p>
    <w:p w14:paraId="190E245C">
      <w:pPr>
        <w:pStyle w:val="11"/>
        <w:rPr>
          <w:rFonts w:eastAsia="黑体"/>
          <w:b/>
          <w:bCs/>
          <w:sz w:val="24"/>
          <w:szCs w:val="24"/>
        </w:rPr>
      </w:pPr>
    </w:p>
    <w:p w14:paraId="1C15F595">
      <w:pPr>
        <w:pStyle w:val="11"/>
        <w:rPr>
          <w:rFonts w:eastAsia="黑体"/>
          <w:b/>
          <w:bCs/>
          <w:sz w:val="24"/>
          <w:szCs w:val="24"/>
        </w:rPr>
      </w:pPr>
    </w:p>
    <w:p w14:paraId="5B27203A">
      <w:pPr>
        <w:pStyle w:val="11"/>
        <w:rPr>
          <w:rFonts w:eastAsia="黑体"/>
          <w:b/>
          <w:bCs/>
          <w:sz w:val="24"/>
          <w:szCs w:val="24"/>
        </w:rPr>
      </w:pPr>
    </w:p>
    <w:p w14:paraId="0299EF82">
      <w:pPr>
        <w:pStyle w:val="11"/>
        <w:rPr>
          <w:rFonts w:eastAsia="黑体"/>
          <w:b/>
          <w:bCs/>
          <w:sz w:val="24"/>
          <w:szCs w:val="24"/>
        </w:rPr>
      </w:pPr>
    </w:p>
    <w:p w14:paraId="462912FE">
      <w:pPr>
        <w:pStyle w:val="11"/>
        <w:rPr>
          <w:rFonts w:eastAsia="黑体"/>
          <w:b/>
          <w:bCs/>
          <w:sz w:val="24"/>
          <w:szCs w:val="24"/>
        </w:rPr>
      </w:pPr>
    </w:p>
    <w:p w14:paraId="16793078">
      <w:pPr>
        <w:pStyle w:val="11"/>
        <w:rPr>
          <w:rFonts w:eastAsia="黑体"/>
          <w:b/>
          <w:bCs/>
          <w:sz w:val="24"/>
          <w:szCs w:val="24"/>
        </w:rPr>
      </w:pPr>
    </w:p>
    <w:p w14:paraId="024EC722">
      <w:pPr>
        <w:pStyle w:val="11"/>
        <w:rPr>
          <w:rFonts w:eastAsia="黑体"/>
          <w:b/>
          <w:bCs/>
          <w:sz w:val="24"/>
          <w:szCs w:val="24"/>
        </w:rPr>
      </w:pPr>
    </w:p>
    <w:p w14:paraId="2823B611">
      <w:pPr>
        <w:pStyle w:val="11"/>
        <w:rPr>
          <w:rFonts w:eastAsia="黑体"/>
          <w:b/>
          <w:bCs/>
          <w:sz w:val="24"/>
          <w:szCs w:val="24"/>
        </w:rPr>
      </w:pPr>
    </w:p>
    <w:p w14:paraId="1E66CFAD">
      <w:pPr>
        <w:spacing w:line="360" w:lineRule="auto"/>
        <w:rPr>
          <w:rFonts w:eastAsia="黑体"/>
          <w:b/>
          <w:bCs/>
          <w:sz w:val="24"/>
          <w:szCs w:val="24"/>
        </w:rPr>
      </w:pPr>
      <w:r>
        <w:rPr>
          <w:rFonts w:eastAsia="黑体"/>
          <w:b/>
          <w:bCs/>
          <w:sz w:val="24"/>
          <w:szCs w:val="24"/>
        </w:rPr>
        <w:t>三、法定代表人授权书(格式)</w:t>
      </w:r>
    </w:p>
    <w:p w14:paraId="62355D67">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05B28A02">
      <w:pPr>
        <w:spacing w:line="360" w:lineRule="auto"/>
        <w:ind w:firstLine="420" w:firstLineChars="200"/>
        <w:rPr>
          <w:szCs w:val="21"/>
        </w:rPr>
      </w:pPr>
    </w:p>
    <w:p w14:paraId="1D19E316">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3B4758F7">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2C4B3B55">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34714C5">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78241B25">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282ED482">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52BD2927">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68FA3F1C">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06EA169">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DC56DA5">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111FB976">
      <w:pPr>
        <w:outlineLvl w:val="0"/>
        <w:rPr>
          <w:rFonts w:eastAsia="黑体"/>
          <w:b/>
          <w:bCs/>
          <w:sz w:val="24"/>
          <w:szCs w:val="24"/>
        </w:rPr>
      </w:pPr>
    </w:p>
    <w:p w14:paraId="3656893F">
      <w:pPr>
        <w:pStyle w:val="10"/>
      </w:pPr>
    </w:p>
    <w:p w14:paraId="477C2B08">
      <w:pPr>
        <w:pStyle w:val="11"/>
      </w:pPr>
    </w:p>
    <w:p w14:paraId="4778E7D6">
      <w:pPr>
        <w:pStyle w:val="11"/>
      </w:pPr>
    </w:p>
    <w:p w14:paraId="3AC6A332">
      <w:pPr>
        <w:pStyle w:val="11"/>
      </w:pPr>
    </w:p>
    <w:p w14:paraId="4A14E412">
      <w:pPr>
        <w:pStyle w:val="11"/>
      </w:pPr>
    </w:p>
    <w:p w14:paraId="6FED722A">
      <w:pPr>
        <w:pStyle w:val="11"/>
      </w:pPr>
    </w:p>
    <w:p w14:paraId="6C0B9C10">
      <w:pPr>
        <w:pStyle w:val="11"/>
      </w:pPr>
    </w:p>
    <w:p w14:paraId="3345A92D">
      <w:pPr>
        <w:pStyle w:val="11"/>
      </w:pPr>
    </w:p>
    <w:p w14:paraId="6F29BC84">
      <w:pPr>
        <w:pStyle w:val="11"/>
      </w:pPr>
    </w:p>
    <w:p w14:paraId="6B3AA35C">
      <w:pPr>
        <w:pageBreakBefore w:val="0"/>
        <w:kinsoku/>
        <w:overflowPunct/>
        <w:topLinePunct w:val="0"/>
        <w:bidi w:val="0"/>
        <w:spacing w:line="360" w:lineRule="auto"/>
        <w:rPr>
          <w:rFonts w:hint="eastAsia" w:ascii="黑体" w:hAnsi="黑体" w:eastAsia="黑体" w:cs="PMingLiUfalt"/>
          <w:b/>
          <w:bCs/>
          <w:kern w:val="2"/>
          <w:sz w:val="24"/>
          <w:szCs w:val="24"/>
          <w:lang w:val="en-US" w:eastAsia="zh-CN" w:bidi="ar-SA"/>
        </w:rPr>
      </w:pPr>
      <w:r>
        <w:rPr>
          <w:rFonts w:hint="eastAsia" w:ascii="黑体" w:hAnsi="黑体" w:eastAsia="黑体" w:cs="PMingLiUfalt"/>
          <w:b/>
          <w:bCs/>
          <w:kern w:val="2"/>
          <w:sz w:val="24"/>
          <w:szCs w:val="24"/>
          <w:lang w:val="en-US" w:eastAsia="zh-CN" w:bidi="ar-SA"/>
        </w:rPr>
        <w:t>四、法人或者其他组织的营业执照等证明文件，自然人的身份证明(复印件加盖供应商公章)</w:t>
      </w:r>
    </w:p>
    <w:p w14:paraId="3246017F">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5B628DB6">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4DA07B0A">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36683642">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2AE24884">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25DC828B">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0CF6A93F">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6F4C35EC">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68DF9953">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645DF73A">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3FEFC725">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4D249E27">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66BCA194">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7D632CEE">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38FFC09C">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3140D950">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15364BB0">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403F09F0">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3D04AD76">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38707FE0">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77529B20">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55B6C253">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6425B056">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0A2D017A">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27C81B95">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7B678F2E">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66D898B4">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1B2EA373">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02A70741">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0C873BAF">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08FB1125">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3D375916">
      <w:pPr>
        <w:pStyle w:val="68"/>
        <w:widowControl w:val="0"/>
        <w:numPr>
          <w:ilvl w:val="0"/>
          <w:numId w:val="0"/>
        </w:numPr>
        <w:shd w:val="clear" w:color="auto" w:fill="auto"/>
        <w:spacing w:line="400" w:lineRule="exact"/>
        <w:jc w:val="left"/>
        <w:rPr>
          <w:rFonts w:hint="eastAsia" w:ascii="黑体" w:hAnsi="黑体" w:eastAsia="黑体"/>
          <w:b/>
          <w:bCs/>
          <w:sz w:val="24"/>
          <w:szCs w:val="24"/>
        </w:rPr>
      </w:pPr>
    </w:p>
    <w:p w14:paraId="54E3EBF7">
      <w:pPr>
        <w:pageBreakBefore w:val="0"/>
        <w:kinsoku/>
        <w:overflowPunct/>
        <w:topLinePunct w:val="0"/>
        <w:bidi w:val="0"/>
        <w:spacing w:line="360" w:lineRule="auto"/>
        <w:rPr>
          <w:rFonts w:hint="eastAsia" w:ascii="黑体" w:hAnsi="黑体" w:eastAsia="黑体" w:cs="PMingLiUfalt"/>
          <w:b/>
          <w:bCs/>
          <w:kern w:val="2"/>
          <w:sz w:val="24"/>
          <w:szCs w:val="24"/>
          <w:lang w:val="en-US" w:eastAsia="zh-CN" w:bidi="ar-SA"/>
        </w:rPr>
      </w:pPr>
      <w:r>
        <w:rPr>
          <w:rFonts w:hint="eastAsia" w:ascii="黑体" w:hAnsi="黑体" w:eastAsia="黑体" w:cs="PMingLiUfalt"/>
          <w:b/>
          <w:bCs/>
          <w:kern w:val="2"/>
          <w:sz w:val="24"/>
          <w:szCs w:val="24"/>
          <w:lang w:val="en-US" w:eastAsia="zh-CN" w:bidi="ar-SA"/>
        </w:rPr>
        <w:t>五、依法缴纳职工社会保障资金的证明材料（复印件加盖供应商公章）（税务、银行或社会保险基金管理部门出具的近一年内任意一份缴纳职工社会保障资金的缴款凭证或缴款证明，供应商依法享受缓缴、免缴税收、社会保障资金的提供证明材料）</w:t>
      </w:r>
    </w:p>
    <w:p w14:paraId="7A4BC2C8">
      <w:pPr>
        <w:pStyle w:val="68"/>
        <w:numPr>
          <w:ilvl w:val="0"/>
          <w:numId w:val="0"/>
        </w:numPr>
        <w:shd w:val="clear" w:color="auto" w:fill="auto"/>
        <w:spacing w:line="400" w:lineRule="exact"/>
        <w:ind w:leftChars="0"/>
        <w:rPr>
          <w:rFonts w:ascii="黑体" w:hAnsi="黑体" w:eastAsia="黑体"/>
          <w:b/>
          <w:bCs/>
          <w:sz w:val="24"/>
          <w:szCs w:val="24"/>
        </w:rPr>
      </w:pPr>
    </w:p>
    <w:p w14:paraId="3D575965">
      <w:pPr>
        <w:pStyle w:val="68"/>
        <w:numPr>
          <w:ilvl w:val="0"/>
          <w:numId w:val="0"/>
        </w:numPr>
        <w:shd w:val="clear" w:color="auto" w:fill="auto"/>
        <w:spacing w:line="400" w:lineRule="exact"/>
        <w:ind w:leftChars="0"/>
        <w:rPr>
          <w:rFonts w:ascii="黑体" w:hAnsi="黑体" w:eastAsia="黑体"/>
          <w:b/>
          <w:bCs/>
          <w:sz w:val="24"/>
          <w:szCs w:val="24"/>
        </w:rPr>
      </w:pPr>
    </w:p>
    <w:p w14:paraId="178E258F">
      <w:pPr>
        <w:pStyle w:val="68"/>
        <w:numPr>
          <w:ilvl w:val="0"/>
          <w:numId w:val="0"/>
        </w:numPr>
        <w:shd w:val="clear" w:color="auto" w:fill="auto"/>
        <w:spacing w:line="400" w:lineRule="exact"/>
        <w:ind w:leftChars="0"/>
        <w:rPr>
          <w:rFonts w:ascii="黑体" w:hAnsi="黑体" w:eastAsia="黑体"/>
          <w:b/>
          <w:bCs/>
          <w:sz w:val="24"/>
          <w:szCs w:val="24"/>
        </w:rPr>
      </w:pPr>
    </w:p>
    <w:p w14:paraId="71ABD4AE">
      <w:pPr>
        <w:pStyle w:val="68"/>
        <w:numPr>
          <w:ilvl w:val="0"/>
          <w:numId w:val="0"/>
        </w:numPr>
        <w:shd w:val="clear" w:color="auto" w:fill="auto"/>
        <w:spacing w:line="400" w:lineRule="exact"/>
        <w:ind w:leftChars="0"/>
        <w:rPr>
          <w:rFonts w:ascii="黑体" w:hAnsi="黑体" w:eastAsia="黑体"/>
          <w:b/>
          <w:bCs/>
          <w:sz w:val="24"/>
          <w:szCs w:val="24"/>
        </w:rPr>
      </w:pPr>
    </w:p>
    <w:p w14:paraId="133B90CB">
      <w:pPr>
        <w:pStyle w:val="68"/>
        <w:numPr>
          <w:ilvl w:val="0"/>
          <w:numId w:val="0"/>
        </w:numPr>
        <w:shd w:val="clear" w:color="auto" w:fill="auto"/>
        <w:spacing w:line="400" w:lineRule="exact"/>
        <w:ind w:leftChars="0"/>
        <w:rPr>
          <w:rFonts w:ascii="黑体" w:hAnsi="黑体" w:eastAsia="黑体"/>
          <w:b/>
          <w:bCs/>
          <w:sz w:val="24"/>
          <w:szCs w:val="24"/>
        </w:rPr>
      </w:pPr>
    </w:p>
    <w:p w14:paraId="09971855">
      <w:pPr>
        <w:pStyle w:val="68"/>
        <w:numPr>
          <w:ilvl w:val="0"/>
          <w:numId w:val="0"/>
        </w:numPr>
        <w:shd w:val="clear" w:color="auto" w:fill="auto"/>
        <w:spacing w:line="400" w:lineRule="exact"/>
        <w:ind w:leftChars="0"/>
        <w:rPr>
          <w:rFonts w:ascii="黑体" w:hAnsi="黑体" w:eastAsia="黑体"/>
          <w:b/>
          <w:bCs/>
          <w:sz w:val="24"/>
          <w:szCs w:val="24"/>
        </w:rPr>
      </w:pPr>
    </w:p>
    <w:p w14:paraId="0ABB33B0">
      <w:pPr>
        <w:pStyle w:val="68"/>
        <w:numPr>
          <w:ilvl w:val="0"/>
          <w:numId w:val="0"/>
        </w:numPr>
        <w:shd w:val="clear" w:color="auto" w:fill="auto"/>
        <w:spacing w:line="400" w:lineRule="exact"/>
        <w:ind w:leftChars="0"/>
        <w:rPr>
          <w:rFonts w:ascii="黑体" w:hAnsi="黑体" w:eastAsia="黑体"/>
          <w:b/>
          <w:bCs/>
          <w:sz w:val="24"/>
          <w:szCs w:val="24"/>
        </w:rPr>
      </w:pPr>
    </w:p>
    <w:p w14:paraId="1B453E77">
      <w:pPr>
        <w:pStyle w:val="68"/>
        <w:numPr>
          <w:ilvl w:val="0"/>
          <w:numId w:val="0"/>
        </w:numPr>
        <w:shd w:val="clear" w:color="auto" w:fill="auto"/>
        <w:spacing w:line="400" w:lineRule="exact"/>
        <w:ind w:leftChars="0"/>
        <w:rPr>
          <w:rFonts w:ascii="黑体" w:hAnsi="黑体" w:eastAsia="黑体"/>
          <w:b/>
          <w:bCs/>
          <w:sz w:val="24"/>
          <w:szCs w:val="24"/>
        </w:rPr>
      </w:pPr>
    </w:p>
    <w:p w14:paraId="1EC3B569">
      <w:pPr>
        <w:pStyle w:val="68"/>
        <w:numPr>
          <w:ilvl w:val="0"/>
          <w:numId w:val="0"/>
        </w:numPr>
        <w:shd w:val="clear" w:color="auto" w:fill="auto"/>
        <w:spacing w:line="400" w:lineRule="exact"/>
        <w:ind w:leftChars="0"/>
        <w:rPr>
          <w:rFonts w:ascii="黑体" w:hAnsi="黑体" w:eastAsia="黑体"/>
          <w:b/>
          <w:bCs/>
          <w:sz w:val="24"/>
          <w:szCs w:val="24"/>
        </w:rPr>
      </w:pPr>
    </w:p>
    <w:p w14:paraId="7679A2E7">
      <w:pPr>
        <w:pStyle w:val="68"/>
        <w:numPr>
          <w:ilvl w:val="0"/>
          <w:numId w:val="0"/>
        </w:numPr>
        <w:shd w:val="clear" w:color="auto" w:fill="auto"/>
        <w:spacing w:line="400" w:lineRule="exact"/>
        <w:ind w:leftChars="0"/>
        <w:rPr>
          <w:rFonts w:ascii="黑体" w:hAnsi="黑体" w:eastAsia="黑体"/>
          <w:b/>
          <w:bCs/>
          <w:sz w:val="24"/>
          <w:szCs w:val="24"/>
        </w:rPr>
      </w:pPr>
    </w:p>
    <w:p w14:paraId="48AFE592">
      <w:pPr>
        <w:pStyle w:val="68"/>
        <w:numPr>
          <w:ilvl w:val="0"/>
          <w:numId w:val="0"/>
        </w:numPr>
        <w:shd w:val="clear" w:color="auto" w:fill="auto"/>
        <w:spacing w:line="400" w:lineRule="exact"/>
        <w:ind w:leftChars="0"/>
        <w:rPr>
          <w:rFonts w:ascii="黑体" w:hAnsi="黑体" w:eastAsia="黑体"/>
          <w:b/>
          <w:bCs/>
          <w:sz w:val="24"/>
          <w:szCs w:val="24"/>
        </w:rPr>
      </w:pPr>
    </w:p>
    <w:p w14:paraId="0827AD41">
      <w:pPr>
        <w:pStyle w:val="68"/>
        <w:numPr>
          <w:ilvl w:val="0"/>
          <w:numId w:val="0"/>
        </w:numPr>
        <w:shd w:val="clear" w:color="auto" w:fill="auto"/>
        <w:spacing w:line="400" w:lineRule="exact"/>
        <w:ind w:leftChars="0"/>
        <w:rPr>
          <w:rFonts w:ascii="黑体" w:hAnsi="黑体" w:eastAsia="黑体"/>
          <w:b/>
          <w:bCs/>
          <w:sz w:val="24"/>
          <w:szCs w:val="24"/>
        </w:rPr>
      </w:pPr>
    </w:p>
    <w:p w14:paraId="221937B1">
      <w:pPr>
        <w:pStyle w:val="68"/>
        <w:numPr>
          <w:ilvl w:val="0"/>
          <w:numId w:val="0"/>
        </w:numPr>
        <w:shd w:val="clear" w:color="auto" w:fill="auto"/>
        <w:spacing w:line="400" w:lineRule="exact"/>
        <w:ind w:leftChars="0"/>
        <w:rPr>
          <w:rFonts w:ascii="黑体" w:hAnsi="黑体" w:eastAsia="黑体"/>
          <w:b/>
          <w:bCs/>
          <w:sz w:val="24"/>
          <w:szCs w:val="24"/>
        </w:rPr>
      </w:pPr>
    </w:p>
    <w:p w14:paraId="38763DAA">
      <w:pPr>
        <w:pStyle w:val="68"/>
        <w:numPr>
          <w:ilvl w:val="0"/>
          <w:numId w:val="0"/>
        </w:numPr>
        <w:shd w:val="clear" w:color="auto" w:fill="auto"/>
        <w:spacing w:line="400" w:lineRule="exact"/>
        <w:ind w:leftChars="0"/>
        <w:rPr>
          <w:rFonts w:ascii="黑体" w:hAnsi="黑体" w:eastAsia="黑体"/>
          <w:b/>
          <w:bCs/>
          <w:sz w:val="24"/>
          <w:szCs w:val="24"/>
        </w:rPr>
      </w:pPr>
    </w:p>
    <w:p w14:paraId="49216BA3">
      <w:pPr>
        <w:pStyle w:val="68"/>
        <w:numPr>
          <w:ilvl w:val="0"/>
          <w:numId w:val="0"/>
        </w:numPr>
        <w:shd w:val="clear" w:color="auto" w:fill="auto"/>
        <w:spacing w:line="400" w:lineRule="exact"/>
        <w:ind w:leftChars="0"/>
        <w:rPr>
          <w:rFonts w:ascii="黑体" w:hAnsi="黑体" w:eastAsia="黑体"/>
          <w:b/>
          <w:bCs/>
          <w:sz w:val="24"/>
          <w:szCs w:val="24"/>
        </w:rPr>
      </w:pPr>
    </w:p>
    <w:p w14:paraId="28C3E221">
      <w:pPr>
        <w:pStyle w:val="68"/>
        <w:numPr>
          <w:ilvl w:val="0"/>
          <w:numId w:val="0"/>
        </w:numPr>
        <w:shd w:val="clear" w:color="auto" w:fill="auto"/>
        <w:spacing w:line="400" w:lineRule="exact"/>
        <w:ind w:leftChars="0"/>
        <w:rPr>
          <w:rFonts w:ascii="黑体" w:hAnsi="黑体" w:eastAsia="黑体"/>
          <w:b/>
          <w:bCs/>
          <w:sz w:val="24"/>
          <w:szCs w:val="24"/>
        </w:rPr>
      </w:pPr>
    </w:p>
    <w:p w14:paraId="748E794E">
      <w:pPr>
        <w:pStyle w:val="68"/>
        <w:numPr>
          <w:ilvl w:val="0"/>
          <w:numId w:val="0"/>
        </w:numPr>
        <w:shd w:val="clear" w:color="auto" w:fill="auto"/>
        <w:spacing w:line="400" w:lineRule="exact"/>
        <w:ind w:leftChars="0"/>
        <w:rPr>
          <w:rFonts w:ascii="黑体" w:hAnsi="黑体" w:eastAsia="黑体"/>
          <w:b/>
          <w:bCs/>
          <w:sz w:val="24"/>
          <w:szCs w:val="24"/>
        </w:rPr>
      </w:pPr>
    </w:p>
    <w:p w14:paraId="33631F2A">
      <w:pPr>
        <w:pStyle w:val="68"/>
        <w:numPr>
          <w:ilvl w:val="0"/>
          <w:numId w:val="0"/>
        </w:numPr>
        <w:shd w:val="clear" w:color="auto" w:fill="auto"/>
        <w:spacing w:line="400" w:lineRule="exact"/>
        <w:ind w:leftChars="0"/>
        <w:rPr>
          <w:rFonts w:ascii="黑体" w:hAnsi="黑体" w:eastAsia="黑体"/>
          <w:b/>
          <w:bCs/>
          <w:sz w:val="24"/>
          <w:szCs w:val="24"/>
        </w:rPr>
      </w:pPr>
    </w:p>
    <w:p w14:paraId="67A85A18">
      <w:pPr>
        <w:pStyle w:val="68"/>
        <w:numPr>
          <w:ilvl w:val="0"/>
          <w:numId w:val="0"/>
        </w:numPr>
        <w:shd w:val="clear" w:color="auto" w:fill="auto"/>
        <w:spacing w:line="400" w:lineRule="exact"/>
        <w:ind w:leftChars="0"/>
        <w:rPr>
          <w:rFonts w:ascii="黑体" w:hAnsi="黑体" w:eastAsia="黑体"/>
          <w:b/>
          <w:bCs/>
          <w:sz w:val="24"/>
          <w:szCs w:val="24"/>
        </w:rPr>
      </w:pPr>
    </w:p>
    <w:p w14:paraId="36B91E8B">
      <w:pPr>
        <w:pStyle w:val="68"/>
        <w:numPr>
          <w:ilvl w:val="0"/>
          <w:numId w:val="0"/>
        </w:numPr>
        <w:shd w:val="clear" w:color="auto" w:fill="auto"/>
        <w:spacing w:line="400" w:lineRule="exact"/>
        <w:ind w:leftChars="0"/>
        <w:rPr>
          <w:rFonts w:ascii="黑体" w:hAnsi="黑体" w:eastAsia="黑体"/>
          <w:b/>
          <w:bCs/>
          <w:sz w:val="24"/>
          <w:szCs w:val="24"/>
        </w:rPr>
      </w:pPr>
    </w:p>
    <w:p w14:paraId="622B6E85">
      <w:pPr>
        <w:pStyle w:val="68"/>
        <w:numPr>
          <w:ilvl w:val="0"/>
          <w:numId w:val="0"/>
        </w:numPr>
        <w:shd w:val="clear" w:color="auto" w:fill="auto"/>
        <w:spacing w:line="400" w:lineRule="exact"/>
        <w:ind w:leftChars="0"/>
        <w:rPr>
          <w:rFonts w:ascii="黑体" w:hAnsi="黑体" w:eastAsia="黑体"/>
          <w:b/>
          <w:bCs/>
          <w:sz w:val="24"/>
          <w:szCs w:val="24"/>
        </w:rPr>
      </w:pPr>
    </w:p>
    <w:p w14:paraId="2A2B9DD3">
      <w:pPr>
        <w:pStyle w:val="68"/>
        <w:numPr>
          <w:ilvl w:val="0"/>
          <w:numId w:val="0"/>
        </w:numPr>
        <w:shd w:val="clear" w:color="auto" w:fill="auto"/>
        <w:spacing w:line="400" w:lineRule="exact"/>
        <w:ind w:leftChars="0"/>
        <w:rPr>
          <w:rFonts w:ascii="黑体" w:hAnsi="黑体" w:eastAsia="黑体"/>
          <w:b/>
          <w:bCs/>
          <w:sz w:val="24"/>
          <w:szCs w:val="24"/>
        </w:rPr>
      </w:pPr>
    </w:p>
    <w:p w14:paraId="63000392">
      <w:pPr>
        <w:pStyle w:val="68"/>
        <w:numPr>
          <w:ilvl w:val="0"/>
          <w:numId w:val="0"/>
        </w:numPr>
        <w:shd w:val="clear" w:color="auto" w:fill="auto"/>
        <w:spacing w:line="400" w:lineRule="exact"/>
        <w:ind w:leftChars="0"/>
        <w:rPr>
          <w:rFonts w:ascii="黑体" w:hAnsi="黑体" w:eastAsia="黑体"/>
          <w:b/>
          <w:bCs/>
          <w:sz w:val="24"/>
          <w:szCs w:val="24"/>
        </w:rPr>
      </w:pPr>
    </w:p>
    <w:p w14:paraId="7A355157">
      <w:pPr>
        <w:pStyle w:val="68"/>
        <w:numPr>
          <w:ilvl w:val="0"/>
          <w:numId w:val="0"/>
        </w:numPr>
        <w:shd w:val="clear" w:color="auto" w:fill="auto"/>
        <w:spacing w:line="400" w:lineRule="exact"/>
        <w:ind w:leftChars="0"/>
        <w:rPr>
          <w:rFonts w:ascii="黑体" w:hAnsi="黑体" w:eastAsia="黑体"/>
          <w:b/>
          <w:bCs/>
          <w:sz w:val="24"/>
          <w:szCs w:val="24"/>
        </w:rPr>
      </w:pPr>
    </w:p>
    <w:p w14:paraId="7B777844">
      <w:pPr>
        <w:pStyle w:val="68"/>
        <w:numPr>
          <w:ilvl w:val="0"/>
          <w:numId w:val="0"/>
        </w:numPr>
        <w:shd w:val="clear" w:color="auto" w:fill="auto"/>
        <w:spacing w:line="400" w:lineRule="exact"/>
        <w:ind w:leftChars="0"/>
        <w:rPr>
          <w:rFonts w:ascii="黑体" w:hAnsi="黑体" w:eastAsia="黑体"/>
          <w:b/>
          <w:bCs/>
          <w:sz w:val="24"/>
          <w:szCs w:val="24"/>
        </w:rPr>
      </w:pPr>
    </w:p>
    <w:p w14:paraId="3677C408">
      <w:pPr>
        <w:pStyle w:val="68"/>
        <w:numPr>
          <w:ilvl w:val="0"/>
          <w:numId w:val="0"/>
        </w:numPr>
        <w:shd w:val="clear" w:color="auto" w:fill="auto"/>
        <w:spacing w:line="400" w:lineRule="exact"/>
        <w:ind w:leftChars="0"/>
        <w:rPr>
          <w:rFonts w:ascii="黑体" w:hAnsi="黑体" w:eastAsia="黑体"/>
          <w:b/>
          <w:bCs/>
          <w:sz w:val="24"/>
          <w:szCs w:val="24"/>
        </w:rPr>
      </w:pPr>
    </w:p>
    <w:p w14:paraId="5205B0E0">
      <w:pPr>
        <w:pStyle w:val="68"/>
        <w:numPr>
          <w:ilvl w:val="0"/>
          <w:numId w:val="0"/>
        </w:numPr>
        <w:shd w:val="clear" w:color="auto" w:fill="auto"/>
        <w:spacing w:line="400" w:lineRule="exact"/>
        <w:ind w:leftChars="0"/>
        <w:rPr>
          <w:rFonts w:ascii="黑体" w:hAnsi="黑体" w:eastAsia="黑体"/>
          <w:b/>
          <w:bCs/>
          <w:sz w:val="24"/>
          <w:szCs w:val="24"/>
        </w:rPr>
      </w:pPr>
    </w:p>
    <w:p w14:paraId="34883E1B">
      <w:pPr>
        <w:pStyle w:val="68"/>
        <w:numPr>
          <w:ilvl w:val="0"/>
          <w:numId w:val="0"/>
        </w:numPr>
        <w:shd w:val="clear" w:color="auto" w:fill="auto"/>
        <w:spacing w:line="400" w:lineRule="exact"/>
        <w:ind w:leftChars="0"/>
        <w:rPr>
          <w:rFonts w:ascii="黑体" w:hAnsi="黑体" w:eastAsia="黑体"/>
          <w:b/>
          <w:bCs/>
          <w:sz w:val="24"/>
          <w:szCs w:val="24"/>
        </w:rPr>
      </w:pPr>
    </w:p>
    <w:p w14:paraId="3A637901">
      <w:pPr>
        <w:pStyle w:val="68"/>
        <w:numPr>
          <w:ilvl w:val="0"/>
          <w:numId w:val="0"/>
        </w:numPr>
        <w:shd w:val="clear" w:color="auto" w:fill="auto"/>
        <w:spacing w:line="400" w:lineRule="exact"/>
        <w:ind w:leftChars="0"/>
        <w:rPr>
          <w:rFonts w:ascii="黑体" w:hAnsi="黑体" w:eastAsia="黑体"/>
          <w:b/>
          <w:bCs/>
          <w:sz w:val="24"/>
          <w:szCs w:val="24"/>
        </w:rPr>
      </w:pPr>
    </w:p>
    <w:p w14:paraId="30E6D72D">
      <w:pPr>
        <w:pStyle w:val="68"/>
        <w:numPr>
          <w:ilvl w:val="0"/>
          <w:numId w:val="0"/>
        </w:numPr>
        <w:shd w:val="clear" w:color="auto" w:fill="auto"/>
        <w:spacing w:line="400" w:lineRule="exact"/>
        <w:ind w:leftChars="0"/>
        <w:rPr>
          <w:rFonts w:ascii="黑体" w:hAnsi="黑体" w:eastAsia="黑体"/>
          <w:b/>
          <w:bCs/>
          <w:sz w:val="24"/>
          <w:szCs w:val="24"/>
        </w:rPr>
      </w:pPr>
    </w:p>
    <w:p w14:paraId="7475ACCA">
      <w:pPr>
        <w:pageBreakBefore w:val="0"/>
        <w:kinsoku/>
        <w:overflowPunct/>
        <w:topLinePunct w:val="0"/>
        <w:bidi w:val="0"/>
        <w:spacing w:line="360" w:lineRule="auto"/>
        <w:rPr>
          <w:rFonts w:hint="eastAsia" w:ascii="黑体" w:hAnsi="黑体" w:eastAsia="黑体" w:cs="PMingLiUfalt"/>
          <w:b/>
          <w:bCs/>
          <w:kern w:val="2"/>
          <w:sz w:val="24"/>
          <w:szCs w:val="24"/>
          <w:lang w:val="en-US" w:eastAsia="zh-CN" w:bidi="ar-SA"/>
        </w:rPr>
      </w:pPr>
      <w:r>
        <w:rPr>
          <w:rFonts w:hint="eastAsia" w:ascii="黑体" w:hAnsi="黑体" w:eastAsia="黑体" w:cs="PMingLiUfalt"/>
          <w:b/>
          <w:bCs/>
          <w:kern w:val="2"/>
          <w:sz w:val="24"/>
          <w:szCs w:val="24"/>
          <w:lang w:val="en-US" w:eastAsia="zh-CN" w:bidi="ar-SA"/>
        </w:rPr>
        <w:t>六、 供应商近一年内任意一份依法纳税的缴款凭证（复印件加盖供应商公章，供应商依法享受缓缴、免缴税收、社会保障资金的提供证明材料）</w:t>
      </w:r>
    </w:p>
    <w:p w14:paraId="753E2AD3">
      <w:pPr>
        <w:pStyle w:val="68"/>
        <w:numPr>
          <w:ilvl w:val="0"/>
          <w:numId w:val="0"/>
        </w:numPr>
        <w:shd w:val="clear" w:color="auto" w:fill="auto"/>
        <w:spacing w:line="400" w:lineRule="exact"/>
        <w:ind w:leftChars="0"/>
        <w:rPr>
          <w:rFonts w:hint="eastAsia" w:ascii="黑体" w:hAnsi="黑体" w:eastAsia="黑体"/>
          <w:b/>
          <w:bCs/>
          <w:sz w:val="24"/>
          <w:szCs w:val="24"/>
        </w:rPr>
      </w:pPr>
    </w:p>
    <w:p w14:paraId="34F0AFC8">
      <w:pPr>
        <w:pStyle w:val="68"/>
        <w:shd w:val="clear" w:color="auto" w:fill="auto"/>
        <w:spacing w:line="400" w:lineRule="exact"/>
        <w:rPr>
          <w:rFonts w:hint="eastAsia" w:ascii="黑体" w:hAnsi="黑体" w:eastAsia="黑体"/>
          <w:b/>
          <w:bCs/>
          <w:sz w:val="24"/>
          <w:szCs w:val="24"/>
        </w:rPr>
      </w:pPr>
    </w:p>
    <w:p w14:paraId="18773A35">
      <w:pPr>
        <w:pStyle w:val="68"/>
        <w:shd w:val="clear" w:color="auto" w:fill="auto"/>
        <w:spacing w:line="400" w:lineRule="exact"/>
        <w:rPr>
          <w:rFonts w:hint="eastAsia" w:ascii="黑体" w:hAnsi="黑体" w:eastAsia="黑体"/>
          <w:b/>
          <w:bCs/>
          <w:sz w:val="24"/>
          <w:szCs w:val="24"/>
        </w:rPr>
      </w:pPr>
    </w:p>
    <w:p w14:paraId="4A05A1C3">
      <w:pPr>
        <w:pStyle w:val="68"/>
        <w:shd w:val="clear" w:color="auto" w:fill="auto"/>
        <w:spacing w:line="400" w:lineRule="exact"/>
        <w:rPr>
          <w:rFonts w:hint="eastAsia" w:ascii="黑体" w:hAnsi="黑体" w:eastAsia="黑体"/>
          <w:b/>
          <w:bCs/>
          <w:sz w:val="24"/>
          <w:szCs w:val="24"/>
        </w:rPr>
      </w:pPr>
    </w:p>
    <w:p w14:paraId="6FF23C9D">
      <w:pPr>
        <w:pStyle w:val="68"/>
        <w:shd w:val="clear" w:color="auto" w:fill="auto"/>
        <w:spacing w:line="400" w:lineRule="exact"/>
        <w:rPr>
          <w:rFonts w:hint="eastAsia" w:ascii="黑体" w:hAnsi="黑体" w:eastAsia="黑体"/>
          <w:b/>
          <w:bCs/>
          <w:sz w:val="24"/>
          <w:szCs w:val="24"/>
        </w:rPr>
      </w:pPr>
    </w:p>
    <w:p w14:paraId="27B719BA">
      <w:pPr>
        <w:pStyle w:val="68"/>
        <w:shd w:val="clear" w:color="auto" w:fill="auto"/>
        <w:spacing w:line="400" w:lineRule="exact"/>
        <w:rPr>
          <w:rFonts w:hint="eastAsia" w:ascii="黑体" w:hAnsi="黑体" w:eastAsia="黑体"/>
          <w:b/>
          <w:bCs/>
          <w:sz w:val="24"/>
          <w:szCs w:val="24"/>
        </w:rPr>
      </w:pPr>
    </w:p>
    <w:p w14:paraId="023483CC">
      <w:pPr>
        <w:pStyle w:val="68"/>
        <w:shd w:val="clear" w:color="auto" w:fill="auto"/>
        <w:spacing w:line="400" w:lineRule="exact"/>
        <w:rPr>
          <w:rFonts w:hint="eastAsia" w:ascii="黑体" w:hAnsi="黑体" w:eastAsia="黑体"/>
          <w:b/>
          <w:bCs/>
          <w:sz w:val="24"/>
          <w:szCs w:val="24"/>
        </w:rPr>
      </w:pPr>
    </w:p>
    <w:p w14:paraId="52AEE908">
      <w:pPr>
        <w:pStyle w:val="68"/>
        <w:shd w:val="clear" w:color="auto" w:fill="auto"/>
        <w:spacing w:line="400" w:lineRule="exact"/>
        <w:rPr>
          <w:rFonts w:hint="eastAsia" w:ascii="黑体" w:hAnsi="黑体" w:eastAsia="黑体"/>
          <w:b/>
          <w:bCs/>
          <w:sz w:val="24"/>
          <w:szCs w:val="24"/>
        </w:rPr>
      </w:pPr>
    </w:p>
    <w:p w14:paraId="5196A0D2">
      <w:pPr>
        <w:pStyle w:val="68"/>
        <w:shd w:val="clear" w:color="auto" w:fill="auto"/>
        <w:spacing w:line="400" w:lineRule="exact"/>
        <w:rPr>
          <w:rFonts w:hint="eastAsia" w:ascii="黑体" w:hAnsi="黑体" w:eastAsia="黑体"/>
          <w:b/>
          <w:bCs/>
          <w:sz w:val="24"/>
          <w:szCs w:val="24"/>
        </w:rPr>
      </w:pPr>
    </w:p>
    <w:p w14:paraId="5C529B4B">
      <w:pPr>
        <w:pStyle w:val="68"/>
        <w:shd w:val="clear" w:color="auto" w:fill="auto"/>
        <w:spacing w:line="400" w:lineRule="exact"/>
        <w:rPr>
          <w:rFonts w:hint="eastAsia" w:ascii="黑体" w:hAnsi="黑体" w:eastAsia="黑体"/>
          <w:b/>
          <w:bCs/>
          <w:sz w:val="24"/>
          <w:szCs w:val="24"/>
        </w:rPr>
      </w:pPr>
    </w:p>
    <w:p w14:paraId="605FB755">
      <w:pPr>
        <w:pStyle w:val="68"/>
        <w:shd w:val="clear" w:color="auto" w:fill="auto"/>
        <w:spacing w:line="400" w:lineRule="exact"/>
        <w:rPr>
          <w:rFonts w:hint="eastAsia" w:ascii="黑体" w:hAnsi="黑体" w:eastAsia="黑体"/>
          <w:b/>
          <w:bCs/>
          <w:sz w:val="24"/>
          <w:szCs w:val="24"/>
        </w:rPr>
      </w:pPr>
    </w:p>
    <w:p w14:paraId="471B83D6">
      <w:pPr>
        <w:pStyle w:val="68"/>
        <w:shd w:val="clear" w:color="auto" w:fill="auto"/>
        <w:spacing w:line="400" w:lineRule="exact"/>
        <w:rPr>
          <w:rFonts w:hint="eastAsia" w:ascii="黑体" w:hAnsi="黑体" w:eastAsia="黑体"/>
          <w:b/>
          <w:bCs/>
          <w:sz w:val="24"/>
          <w:szCs w:val="24"/>
        </w:rPr>
      </w:pPr>
    </w:p>
    <w:p w14:paraId="081C10D3">
      <w:pPr>
        <w:pStyle w:val="68"/>
        <w:shd w:val="clear" w:color="auto" w:fill="auto"/>
        <w:spacing w:line="400" w:lineRule="exact"/>
        <w:rPr>
          <w:rFonts w:hint="eastAsia" w:ascii="黑体" w:hAnsi="黑体" w:eastAsia="黑体"/>
          <w:b/>
          <w:bCs/>
          <w:sz w:val="24"/>
          <w:szCs w:val="24"/>
        </w:rPr>
      </w:pPr>
    </w:p>
    <w:p w14:paraId="604C6DAC">
      <w:pPr>
        <w:pStyle w:val="68"/>
        <w:shd w:val="clear" w:color="auto" w:fill="auto"/>
        <w:spacing w:line="400" w:lineRule="exact"/>
        <w:rPr>
          <w:rFonts w:hint="eastAsia" w:ascii="黑体" w:hAnsi="黑体" w:eastAsia="黑体"/>
          <w:b/>
          <w:bCs/>
          <w:sz w:val="24"/>
          <w:szCs w:val="24"/>
        </w:rPr>
      </w:pPr>
    </w:p>
    <w:p w14:paraId="18ECEF71">
      <w:pPr>
        <w:pStyle w:val="68"/>
        <w:shd w:val="clear" w:color="auto" w:fill="auto"/>
        <w:spacing w:line="400" w:lineRule="exact"/>
        <w:rPr>
          <w:rFonts w:hint="eastAsia" w:ascii="黑体" w:hAnsi="黑体" w:eastAsia="黑体"/>
          <w:b/>
          <w:bCs/>
          <w:sz w:val="24"/>
          <w:szCs w:val="24"/>
        </w:rPr>
      </w:pPr>
    </w:p>
    <w:p w14:paraId="523857D6">
      <w:pPr>
        <w:pStyle w:val="68"/>
        <w:shd w:val="clear" w:color="auto" w:fill="auto"/>
        <w:spacing w:line="400" w:lineRule="exact"/>
        <w:rPr>
          <w:rFonts w:hint="eastAsia" w:ascii="黑体" w:hAnsi="黑体" w:eastAsia="黑体"/>
          <w:b/>
          <w:bCs/>
          <w:sz w:val="24"/>
          <w:szCs w:val="24"/>
        </w:rPr>
      </w:pPr>
    </w:p>
    <w:p w14:paraId="240FE3C6">
      <w:pPr>
        <w:pStyle w:val="68"/>
        <w:shd w:val="clear" w:color="auto" w:fill="auto"/>
        <w:spacing w:line="400" w:lineRule="exact"/>
        <w:rPr>
          <w:rFonts w:hint="eastAsia" w:ascii="黑体" w:hAnsi="黑体" w:eastAsia="黑体"/>
          <w:b/>
          <w:bCs/>
          <w:sz w:val="24"/>
          <w:szCs w:val="24"/>
        </w:rPr>
      </w:pPr>
    </w:p>
    <w:p w14:paraId="7232E11B">
      <w:pPr>
        <w:pStyle w:val="68"/>
        <w:shd w:val="clear" w:color="auto" w:fill="auto"/>
        <w:spacing w:line="400" w:lineRule="exact"/>
        <w:rPr>
          <w:rFonts w:hint="eastAsia" w:ascii="黑体" w:hAnsi="黑体" w:eastAsia="黑体"/>
          <w:b/>
          <w:bCs/>
          <w:sz w:val="24"/>
          <w:szCs w:val="24"/>
        </w:rPr>
      </w:pPr>
    </w:p>
    <w:p w14:paraId="001320DB">
      <w:pPr>
        <w:pStyle w:val="68"/>
        <w:shd w:val="clear" w:color="auto" w:fill="auto"/>
        <w:spacing w:line="400" w:lineRule="exact"/>
        <w:rPr>
          <w:rFonts w:hint="eastAsia" w:ascii="黑体" w:hAnsi="黑体" w:eastAsia="黑体"/>
          <w:b/>
          <w:bCs/>
          <w:sz w:val="24"/>
          <w:szCs w:val="24"/>
        </w:rPr>
      </w:pPr>
    </w:p>
    <w:p w14:paraId="20650EBA">
      <w:pPr>
        <w:pStyle w:val="68"/>
        <w:shd w:val="clear" w:color="auto" w:fill="auto"/>
        <w:spacing w:line="400" w:lineRule="exact"/>
        <w:rPr>
          <w:rFonts w:hint="eastAsia" w:ascii="黑体" w:hAnsi="黑体" w:eastAsia="黑体"/>
          <w:b/>
          <w:bCs/>
          <w:sz w:val="24"/>
          <w:szCs w:val="24"/>
        </w:rPr>
      </w:pPr>
    </w:p>
    <w:p w14:paraId="76CF9A1B">
      <w:pPr>
        <w:pStyle w:val="68"/>
        <w:shd w:val="clear" w:color="auto" w:fill="auto"/>
        <w:spacing w:line="400" w:lineRule="exact"/>
        <w:rPr>
          <w:rFonts w:hint="eastAsia" w:ascii="黑体" w:hAnsi="黑体" w:eastAsia="黑体"/>
          <w:b/>
          <w:bCs/>
          <w:sz w:val="24"/>
          <w:szCs w:val="24"/>
        </w:rPr>
      </w:pPr>
    </w:p>
    <w:p w14:paraId="0F245D0F">
      <w:pPr>
        <w:pStyle w:val="68"/>
        <w:shd w:val="clear" w:color="auto" w:fill="auto"/>
        <w:spacing w:line="400" w:lineRule="exact"/>
        <w:rPr>
          <w:rFonts w:hint="eastAsia" w:ascii="黑体" w:hAnsi="黑体" w:eastAsia="黑体"/>
          <w:b/>
          <w:bCs/>
          <w:sz w:val="24"/>
          <w:szCs w:val="24"/>
        </w:rPr>
      </w:pPr>
    </w:p>
    <w:p w14:paraId="7EEF3385">
      <w:pPr>
        <w:pStyle w:val="68"/>
        <w:shd w:val="clear" w:color="auto" w:fill="auto"/>
        <w:spacing w:line="400" w:lineRule="exact"/>
        <w:rPr>
          <w:rFonts w:hint="eastAsia" w:ascii="黑体" w:hAnsi="黑体" w:eastAsia="黑体"/>
          <w:b/>
          <w:bCs/>
          <w:sz w:val="24"/>
          <w:szCs w:val="24"/>
        </w:rPr>
      </w:pPr>
    </w:p>
    <w:p w14:paraId="1DE19562">
      <w:pPr>
        <w:pStyle w:val="68"/>
        <w:shd w:val="clear" w:color="auto" w:fill="auto"/>
        <w:spacing w:line="400" w:lineRule="exact"/>
        <w:rPr>
          <w:rFonts w:hint="eastAsia" w:ascii="黑体" w:hAnsi="黑体" w:eastAsia="黑体"/>
          <w:b/>
          <w:bCs/>
          <w:sz w:val="24"/>
          <w:szCs w:val="24"/>
        </w:rPr>
      </w:pPr>
    </w:p>
    <w:p w14:paraId="2616B059">
      <w:pPr>
        <w:pStyle w:val="68"/>
        <w:shd w:val="clear" w:color="auto" w:fill="auto"/>
        <w:spacing w:line="400" w:lineRule="exact"/>
        <w:rPr>
          <w:rFonts w:hint="eastAsia" w:ascii="黑体" w:hAnsi="黑体" w:eastAsia="黑体"/>
          <w:b/>
          <w:bCs/>
          <w:sz w:val="24"/>
          <w:szCs w:val="24"/>
        </w:rPr>
      </w:pPr>
    </w:p>
    <w:p w14:paraId="3307997D">
      <w:pPr>
        <w:pStyle w:val="68"/>
        <w:shd w:val="clear" w:color="auto" w:fill="auto"/>
        <w:spacing w:line="400" w:lineRule="exact"/>
        <w:rPr>
          <w:rFonts w:hint="eastAsia" w:ascii="黑体" w:hAnsi="黑体" w:eastAsia="黑体"/>
          <w:b/>
          <w:bCs/>
          <w:sz w:val="24"/>
          <w:szCs w:val="24"/>
        </w:rPr>
      </w:pPr>
    </w:p>
    <w:p w14:paraId="57F5D04B">
      <w:pPr>
        <w:pStyle w:val="68"/>
        <w:shd w:val="clear" w:color="auto" w:fill="auto"/>
        <w:spacing w:line="400" w:lineRule="exact"/>
        <w:rPr>
          <w:rFonts w:hint="eastAsia" w:ascii="黑体" w:hAnsi="黑体" w:eastAsia="黑体"/>
          <w:b/>
          <w:bCs/>
          <w:sz w:val="24"/>
          <w:szCs w:val="24"/>
        </w:rPr>
      </w:pPr>
    </w:p>
    <w:p w14:paraId="27940831">
      <w:pPr>
        <w:pStyle w:val="68"/>
        <w:shd w:val="clear" w:color="auto" w:fill="auto"/>
        <w:spacing w:line="400" w:lineRule="exact"/>
        <w:rPr>
          <w:rFonts w:hint="eastAsia" w:ascii="黑体" w:hAnsi="黑体" w:eastAsia="黑体"/>
          <w:b/>
          <w:bCs/>
          <w:sz w:val="24"/>
          <w:szCs w:val="24"/>
        </w:rPr>
      </w:pPr>
    </w:p>
    <w:p w14:paraId="2F6F89D0">
      <w:pPr>
        <w:pStyle w:val="68"/>
        <w:shd w:val="clear" w:color="auto" w:fill="auto"/>
        <w:spacing w:line="400" w:lineRule="exact"/>
        <w:rPr>
          <w:rFonts w:hint="eastAsia" w:ascii="黑体" w:hAnsi="黑体" w:eastAsia="黑体"/>
          <w:b/>
          <w:bCs/>
          <w:sz w:val="24"/>
          <w:szCs w:val="24"/>
        </w:rPr>
      </w:pPr>
    </w:p>
    <w:p w14:paraId="1A7CA50C">
      <w:pPr>
        <w:pStyle w:val="68"/>
        <w:shd w:val="clear" w:color="auto" w:fill="auto"/>
        <w:spacing w:line="400" w:lineRule="exact"/>
        <w:rPr>
          <w:rFonts w:hint="eastAsia" w:ascii="黑体" w:hAnsi="黑体" w:eastAsia="黑体"/>
          <w:b/>
          <w:bCs/>
          <w:sz w:val="24"/>
          <w:szCs w:val="24"/>
        </w:rPr>
      </w:pPr>
    </w:p>
    <w:p w14:paraId="42D2D4B2">
      <w:pPr>
        <w:pStyle w:val="68"/>
        <w:shd w:val="clear" w:color="auto" w:fill="auto"/>
        <w:spacing w:line="400" w:lineRule="exact"/>
        <w:rPr>
          <w:rFonts w:hint="eastAsia" w:ascii="黑体" w:hAnsi="黑体" w:eastAsia="黑体"/>
          <w:b/>
          <w:bCs/>
          <w:sz w:val="24"/>
          <w:szCs w:val="24"/>
        </w:rPr>
      </w:pPr>
    </w:p>
    <w:p w14:paraId="1D7D3CD7">
      <w:pPr>
        <w:pStyle w:val="68"/>
        <w:shd w:val="clear" w:color="auto" w:fill="auto"/>
        <w:spacing w:line="400" w:lineRule="exact"/>
        <w:rPr>
          <w:rFonts w:hint="eastAsia" w:ascii="黑体" w:hAnsi="黑体" w:eastAsia="黑体"/>
          <w:b/>
          <w:bCs/>
          <w:sz w:val="24"/>
          <w:szCs w:val="24"/>
        </w:rPr>
      </w:pPr>
    </w:p>
    <w:p w14:paraId="4020207C">
      <w:pPr>
        <w:pStyle w:val="68"/>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lang w:val="en-US" w:eastAsia="zh-CN"/>
        </w:rPr>
        <w:t>七、上一</w:t>
      </w:r>
      <w:r>
        <w:rPr>
          <w:rFonts w:hint="eastAsia" w:ascii="黑体" w:hAnsi="黑体" w:eastAsia="黑体"/>
          <w:b/>
          <w:bCs/>
          <w:sz w:val="24"/>
          <w:szCs w:val="24"/>
        </w:rPr>
        <w:t>年度的财务状况报告 （成立不满一年不需提供，复印件加盖供应商公章）</w:t>
      </w:r>
    </w:p>
    <w:p w14:paraId="7D006C6B">
      <w:pPr>
        <w:pStyle w:val="68"/>
        <w:shd w:val="clear" w:color="auto" w:fill="auto"/>
        <w:spacing w:line="400" w:lineRule="exact"/>
        <w:rPr>
          <w:rFonts w:hint="eastAsia" w:ascii="黑体" w:hAnsi="黑体" w:eastAsia="黑体"/>
          <w:b/>
          <w:bCs/>
          <w:sz w:val="24"/>
          <w:szCs w:val="24"/>
        </w:rPr>
      </w:pPr>
    </w:p>
    <w:p w14:paraId="41FF34F0">
      <w:pPr>
        <w:pStyle w:val="68"/>
        <w:shd w:val="clear" w:color="auto" w:fill="auto"/>
        <w:spacing w:line="400" w:lineRule="exact"/>
        <w:rPr>
          <w:rFonts w:hint="eastAsia" w:ascii="黑体" w:hAnsi="黑体" w:eastAsia="黑体"/>
          <w:b/>
          <w:bCs/>
          <w:sz w:val="24"/>
          <w:szCs w:val="24"/>
        </w:rPr>
      </w:pPr>
    </w:p>
    <w:p w14:paraId="4F736C19">
      <w:pPr>
        <w:pStyle w:val="68"/>
        <w:shd w:val="clear" w:color="auto" w:fill="auto"/>
        <w:spacing w:line="400" w:lineRule="exact"/>
        <w:rPr>
          <w:rFonts w:hint="eastAsia" w:ascii="黑体" w:hAnsi="黑体" w:eastAsia="黑体"/>
          <w:b/>
          <w:bCs/>
          <w:sz w:val="24"/>
          <w:szCs w:val="24"/>
        </w:rPr>
      </w:pPr>
    </w:p>
    <w:p w14:paraId="3427E6B2">
      <w:pPr>
        <w:pStyle w:val="68"/>
        <w:shd w:val="clear" w:color="auto" w:fill="auto"/>
        <w:spacing w:line="400" w:lineRule="exact"/>
        <w:rPr>
          <w:rFonts w:hint="eastAsia" w:ascii="黑体" w:hAnsi="黑体" w:eastAsia="黑体"/>
          <w:b/>
          <w:bCs/>
          <w:sz w:val="24"/>
          <w:szCs w:val="24"/>
        </w:rPr>
      </w:pPr>
    </w:p>
    <w:p w14:paraId="69CD3A56">
      <w:pPr>
        <w:pStyle w:val="68"/>
        <w:shd w:val="clear" w:color="auto" w:fill="auto"/>
        <w:spacing w:line="400" w:lineRule="exact"/>
        <w:rPr>
          <w:rFonts w:hint="eastAsia" w:ascii="黑体" w:hAnsi="黑体" w:eastAsia="黑体"/>
          <w:b/>
          <w:bCs/>
          <w:sz w:val="24"/>
          <w:szCs w:val="24"/>
        </w:rPr>
      </w:pPr>
    </w:p>
    <w:p w14:paraId="228FB661">
      <w:pPr>
        <w:pStyle w:val="68"/>
        <w:shd w:val="clear" w:color="auto" w:fill="auto"/>
        <w:spacing w:line="400" w:lineRule="exact"/>
        <w:rPr>
          <w:rFonts w:hint="eastAsia" w:ascii="黑体" w:hAnsi="黑体" w:eastAsia="黑体"/>
          <w:b/>
          <w:bCs/>
          <w:sz w:val="24"/>
          <w:szCs w:val="24"/>
        </w:rPr>
      </w:pPr>
    </w:p>
    <w:p w14:paraId="43B1253D">
      <w:pPr>
        <w:pStyle w:val="68"/>
        <w:shd w:val="clear" w:color="auto" w:fill="auto"/>
        <w:spacing w:line="400" w:lineRule="exact"/>
        <w:rPr>
          <w:rFonts w:hint="eastAsia" w:ascii="黑体" w:hAnsi="黑体" w:eastAsia="黑体"/>
          <w:b/>
          <w:bCs/>
          <w:sz w:val="24"/>
          <w:szCs w:val="24"/>
        </w:rPr>
      </w:pPr>
    </w:p>
    <w:p w14:paraId="6D52A130">
      <w:pPr>
        <w:pStyle w:val="68"/>
        <w:shd w:val="clear" w:color="auto" w:fill="auto"/>
        <w:spacing w:line="400" w:lineRule="exact"/>
        <w:rPr>
          <w:rFonts w:hint="eastAsia" w:ascii="黑体" w:hAnsi="黑体" w:eastAsia="黑体"/>
          <w:b/>
          <w:bCs/>
          <w:sz w:val="24"/>
          <w:szCs w:val="24"/>
        </w:rPr>
      </w:pPr>
    </w:p>
    <w:p w14:paraId="7C15095F">
      <w:pPr>
        <w:pStyle w:val="68"/>
        <w:shd w:val="clear" w:color="auto" w:fill="auto"/>
        <w:spacing w:line="400" w:lineRule="exact"/>
        <w:rPr>
          <w:rFonts w:hint="eastAsia" w:ascii="黑体" w:hAnsi="黑体" w:eastAsia="黑体"/>
          <w:b/>
          <w:bCs/>
          <w:sz w:val="24"/>
          <w:szCs w:val="24"/>
        </w:rPr>
      </w:pPr>
    </w:p>
    <w:p w14:paraId="66D91A1D">
      <w:pPr>
        <w:pStyle w:val="68"/>
        <w:shd w:val="clear" w:color="auto" w:fill="auto"/>
        <w:spacing w:line="400" w:lineRule="exact"/>
        <w:rPr>
          <w:rFonts w:hint="eastAsia" w:ascii="黑体" w:hAnsi="黑体" w:eastAsia="黑体"/>
          <w:b/>
          <w:bCs/>
          <w:sz w:val="24"/>
          <w:szCs w:val="24"/>
        </w:rPr>
      </w:pPr>
    </w:p>
    <w:p w14:paraId="7B8E38C0">
      <w:pPr>
        <w:pStyle w:val="68"/>
        <w:shd w:val="clear" w:color="auto" w:fill="auto"/>
        <w:spacing w:line="400" w:lineRule="exact"/>
        <w:rPr>
          <w:rFonts w:hint="eastAsia" w:ascii="黑体" w:hAnsi="黑体" w:eastAsia="黑体"/>
          <w:b/>
          <w:bCs/>
          <w:sz w:val="24"/>
          <w:szCs w:val="24"/>
        </w:rPr>
      </w:pPr>
    </w:p>
    <w:p w14:paraId="0767C5F0">
      <w:pPr>
        <w:pStyle w:val="68"/>
        <w:shd w:val="clear" w:color="auto" w:fill="auto"/>
        <w:spacing w:line="400" w:lineRule="exact"/>
        <w:rPr>
          <w:rFonts w:hint="eastAsia" w:ascii="黑体" w:hAnsi="黑体" w:eastAsia="黑体"/>
          <w:b/>
          <w:bCs/>
          <w:sz w:val="24"/>
          <w:szCs w:val="24"/>
        </w:rPr>
      </w:pPr>
    </w:p>
    <w:p w14:paraId="65C68FA4">
      <w:pPr>
        <w:pStyle w:val="68"/>
        <w:shd w:val="clear" w:color="auto" w:fill="auto"/>
        <w:spacing w:line="400" w:lineRule="exact"/>
        <w:rPr>
          <w:rFonts w:hint="eastAsia" w:ascii="黑体" w:hAnsi="黑体" w:eastAsia="黑体"/>
          <w:b/>
          <w:bCs/>
          <w:sz w:val="24"/>
          <w:szCs w:val="24"/>
        </w:rPr>
      </w:pPr>
    </w:p>
    <w:p w14:paraId="5A16AF7E">
      <w:pPr>
        <w:pStyle w:val="68"/>
        <w:shd w:val="clear" w:color="auto" w:fill="auto"/>
        <w:spacing w:line="400" w:lineRule="exact"/>
        <w:rPr>
          <w:rFonts w:hint="eastAsia" w:ascii="黑体" w:hAnsi="黑体" w:eastAsia="黑体"/>
          <w:b/>
          <w:bCs/>
          <w:sz w:val="24"/>
          <w:szCs w:val="24"/>
        </w:rPr>
      </w:pPr>
    </w:p>
    <w:p w14:paraId="591EA6EA">
      <w:pPr>
        <w:pStyle w:val="68"/>
        <w:shd w:val="clear" w:color="auto" w:fill="auto"/>
        <w:spacing w:line="400" w:lineRule="exact"/>
        <w:rPr>
          <w:rFonts w:hint="eastAsia" w:ascii="黑体" w:hAnsi="黑体" w:eastAsia="黑体"/>
          <w:b/>
          <w:bCs/>
          <w:sz w:val="24"/>
          <w:szCs w:val="24"/>
        </w:rPr>
      </w:pPr>
    </w:p>
    <w:p w14:paraId="4D9D591B">
      <w:pPr>
        <w:pStyle w:val="68"/>
        <w:shd w:val="clear" w:color="auto" w:fill="auto"/>
        <w:spacing w:line="400" w:lineRule="exact"/>
        <w:rPr>
          <w:rFonts w:hint="eastAsia" w:ascii="黑体" w:hAnsi="黑体" w:eastAsia="黑体"/>
          <w:b/>
          <w:bCs/>
          <w:sz w:val="24"/>
          <w:szCs w:val="24"/>
        </w:rPr>
      </w:pPr>
    </w:p>
    <w:p w14:paraId="6C4CDD15">
      <w:pPr>
        <w:pStyle w:val="68"/>
        <w:shd w:val="clear" w:color="auto" w:fill="auto"/>
        <w:spacing w:line="400" w:lineRule="exact"/>
        <w:rPr>
          <w:rFonts w:hint="eastAsia" w:ascii="黑体" w:hAnsi="黑体" w:eastAsia="黑体"/>
          <w:b/>
          <w:bCs/>
          <w:sz w:val="24"/>
          <w:szCs w:val="24"/>
        </w:rPr>
      </w:pPr>
    </w:p>
    <w:p w14:paraId="72694F0E">
      <w:pPr>
        <w:pStyle w:val="68"/>
        <w:shd w:val="clear" w:color="auto" w:fill="auto"/>
        <w:spacing w:line="400" w:lineRule="exact"/>
        <w:rPr>
          <w:rFonts w:hint="eastAsia" w:ascii="黑体" w:hAnsi="黑体" w:eastAsia="黑体"/>
          <w:b/>
          <w:bCs/>
          <w:sz w:val="24"/>
          <w:szCs w:val="24"/>
        </w:rPr>
      </w:pPr>
    </w:p>
    <w:p w14:paraId="344CF3F1">
      <w:pPr>
        <w:pStyle w:val="68"/>
        <w:shd w:val="clear" w:color="auto" w:fill="auto"/>
        <w:spacing w:line="400" w:lineRule="exact"/>
        <w:rPr>
          <w:rFonts w:hint="eastAsia" w:ascii="黑体" w:hAnsi="黑体" w:eastAsia="黑体"/>
          <w:b/>
          <w:bCs/>
          <w:sz w:val="24"/>
          <w:szCs w:val="24"/>
        </w:rPr>
      </w:pPr>
    </w:p>
    <w:p w14:paraId="5C0AC098">
      <w:pPr>
        <w:pStyle w:val="68"/>
        <w:shd w:val="clear" w:color="auto" w:fill="auto"/>
        <w:spacing w:line="400" w:lineRule="exact"/>
        <w:rPr>
          <w:rFonts w:hint="eastAsia" w:ascii="黑体" w:hAnsi="黑体" w:eastAsia="黑体"/>
          <w:b/>
          <w:bCs/>
          <w:sz w:val="24"/>
          <w:szCs w:val="24"/>
        </w:rPr>
      </w:pPr>
    </w:p>
    <w:p w14:paraId="3BCF45F1">
      <w:pPr>
        <w:pStyle w:val="68"/>
        <w:shd w:val="clear" w:color="auto" w:fill="auto"/>
        <w:spacing w:line="400" w:lineRule="exact"/>
        <w:rPr>
          <w:rFonts w:hint="eastAsia" w:ascii="黑体" w:hAnsi="黑体" w:eastAsia="黑体"/>
          <w:b/>
          <w:bCs/>
          <w:sz w:val="24"/>
          <w:szCs w:val="24"/>
        </w:rPr>
      </w:pPr>
    </w:p>
    <w:p w14:paraId="1CA9CA60">
      <w:pPr>
        <w:pStyle w:val="68"/>
        <w:shd w:val="clear" w:color="auto" w:fill="auto"/>
        <w:spacing w:line="400" w:lineRule="exact"/>
        <w:rPr>
          <w:rFonts w:hint="eastAsia" w:ascii="黑体" w:hAnsi="黑体" w:eastAsia="黑体"/>
          <w:b/>
          <w:bCs/>
          <w:sz w:val="24"/>
          <w:szCs w:val="24"/>
        </w:rPr>
      </w:pPr>
    </w:p>
    <w:p w14:paraId="4192706F">
      <w:pPr>
        <w:pStyle w:val="68"/>
        <w:shd w:val="clear" w:color="auto" w:fill="auto"/>
        <w:spacing w:line="400" w:lineRule="exact"/>
        <w:rPr>
          <w:rFonts w:hint="eastAsia" w:ascii="黑体" w:hAnsi="黑体" w:eastAsia="黑体"/>
          <w:b/>
          <w:bCs/>
          <w:sz w:val="24"/>
          <w:szCs w:val="24"/>
        </w:rPr>
      </w:pPr>
    </w:p>
    <w:p w14:paraId="175AD6F2">
      <w:pPr>
        <w:pStyle w:val="68"/>
        <w:shd w:val="clear" w:color="auto" w:fill="auto"/>
        <w:spacing w:line="400" w:lineRule="exact"/>
        <w:rPr>
          <w:rFonts w:hint="eastAsia" w:ascii="黑体" w:hAnsi="黑体" w:eastAsia="黑体"/>
          <w:b/>
          <w:bCs/>
          <w:sz w:val="24"/>
          <w:szCs w:val="24"/>
        </w:rPr>
      </w:pPr>
    </w:p>
    <w:p w14:paraId="1FD40A50">
      <w:pPr>
        <w:pStyle w:val="68"/>
        <w:shd w:val="clear" w:color="auto" w:fill="auto"/>
        <w:spacing w:line="400" w:lineRule="exact"/>
        <w:rPr>
          <w:rFonts w:hint="eastAsia" w:ascii="黑体" w:hAnsi="黑体" w:eastAsia="黑体"/>
          <w:b/>
          <w:bCs/>
          <w:sz w:val="24"/>
          <w:szCs w:val="24"/>
        </w:rPr>
      </w:pPr>
    </w:p>
    <w:p w14:paraId="2D142D89">
      <w:pPr>
        <w:pStyle w:val="68"/>
        <w:shd w:val="clear" w:color="auto" w:fill="auto"/>
        <w:spacing w:line="400" w:lineRule="exact"/>
        <w:rPr>
          <w:rFonts w:hint="eastAsia" w:ascii="黑体" w:hAnsi="黑体" w:eastAsia="黑体"/>
          <w:b/>
          <w:bCs/>
          <w:sz w:val="24"/>
          <w:szCs w:val="24"/>
        </w:rPr>
      </w:pPr>
    </w:p>
    <w:p w14:paraId="496BA27D">
      <w:pPr>
        <w:pStyle w:val="68"/>
        <w:shd w:val="clear" w:color="auto" w:fill="auto"/>
        <w:spacing w:line="400" w:lineRule="exact"/>
        <w:rPr>
          <w:rFonts w:hint="eastAsia" w:ascii="黑体" w:hAnsi="黑体" w:eastAsia="黑体"/>
          <w:b/>
          <w:bCs/>
          <w:sz w:val="24"/>
          <w:szCs w:val="24"/>
        </w:rPr>
      </w:pPr>
    </w:p>
    <w:p w14:paraId="69FE21A8">
      <w:pPr>
        <w:pStyle w:val="68"/>
        <w:shd w:val="clear" w:color="auto" w:fill="auto"/>
        <w:spacing w:line="400" w:lineRule="exact"/>
        <w:rPr>
          <w:rFonts w:hint="eastAsia" w:ascii="黑体" w:hAnsi="黑体" w:eastAsia="黑体"/>
          <w:b/>
          <w:bCs/>
          <w:sz w:val="24"/>
          <w:szCs w:val="24"/>
        </w:rPr>
      </w:pPr>
    </w:p>
    <w:p w14:paraId="79ABEA7A">
      <w:pPr>
        <w:pStyle w:val="68"/>
        <w:shd w:val="clear" w:color="auto" w:fill="auto"/>
        <w:spacing w:line="400" w:lineRule="exact"/>
        <w:rPr>
          <w:rFonts w:hint="eastAsia" w:ascii="黑体" w:hAnsi="黑体" w:eastAsia="黑体"/>
          <w:b/>
          <w:bCs/>
          <w:sz w:val="24"/>
          <w:szCs w:val="24"/>
        </w:rPr>
      </w:pPr>
    </w:p>
    <w:p w14:paraId="74C615D3">
      <w:pPr>
        <w:pStyle w:val="68"/>
        <w:shd w:val="clear" w:color="auto" w:fill="auto"/>
        <w:spacing w:line="400" w:lineRule="exact"/>
        <w:rPr>
          <w:rFonts w:hint="eastAsia" w:ascii="黑体" w:hAnsi="黑体" w:eastAsia="黑体"/>
          <w:b/>
          <w:bCs/>
          <w:sz w:val="24"/>
          <w:szCs w:val="24"/>
        </w:rPr>
      </w:pPr>
    </w:p>
    <w:p w14:paraId="7F9393C9">
      <w:pPr>
        <w:pStyle w:val="68"/>
        <w:shd w:val="clear" w:color="auto" w:fill="auto"/>
        <w:spacing w:line="400" w:lineRule="exact"/>
        <w:rPr>
          <w:rFonts w:hint="eastAsia" w:ascii="黑体" w:hAnsi="黑体" w:eastAsia="黑体"/>
          <w:b/>
          <w:bCs/>
          <w:sz w:val="24"/>
          <w:szCs w:val="24"/>
        </w:rPr>
      </w:pPr>
    </w:p>
    <w:p w14:paraId="168953FA">
      <w:pPr>
        <w:pStyle w:val="68"/>
        <w:shd w:val="clear" w:color="auto" w:fill="auto"/>
        <w:spacing w:line="400" w:lineRule="exact"/>
        <w:rPr>
          <w:rFonts w:hint="eastAsia" w:ascii="黑体" w:hAnsi="黑体" w:eastAsia="黑体"/>
          <w:b/>
          <w:bCs/>
          <w:sz w:val="24"/>
          <w:szCs w:val="24"/>
        </w:rPr>
      </w:pPr>
    </w:p>
    <w:p w14:paraId="7D073833">
      <w:pPr>
        <w:pStyle w:val="68"/>
        <w:shd w:val="clear" w:color="auto" w:fill="auto"/>
        <w:spacing w:line="400" w:lineRule="exact"/>
        <w:rPr>
          <w:rFonts w:ascii="黑体" w:hAnsi="黑体" w:eastAsia="黑体"/>
          <w:b/>
          <w:bCs/>
          <w:sz w:val="24"/>
          <w:szCs w:val="24"/>
        </w:rPr>
      </w:pPr>
      <w:r>
        <w:rPr>
          <w:rFonts w:hint="eastAsia" w:ascii="黑体" w:hAnsi="黑体" w:eastAsia="黑体"/>
          <w:b/>
          <w:bCs/>
          <w:sz w:val="24"/>
          <w:szCs w:val="24"/>
          <w:lang w:val="en-US" w:eastAsia="zh-CN"/>
        </w:rPr>
        <w:t>八</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D3EB063">
      <w:pPr>
        <w:spacing w:line="400" w:lineRule="exact"/>
        <w:jc w:val="center"/>
        <w:rPr>
          <w:rFonts w:ascii="宋体" w:hAnsi="宋体"/>
          <w:b/>
          <w:bCs/>
        </w:rPr>
      </w:pPr>
      <w:r>
        <w:rPr>
          <w:rFonts w:hint="eastAsia" w:ascii="宋体" w:hAnsi="宋体"/>
          <w:b/>
          <w:bCs/>
        </w:rPr>
        <w:t>声  明</w:t>
      </w:r>
    </w:p>
    <w:p w14:paraId="69E6198E">
      <w:pPr>
        <w:spacing w:line="400" w:lineRule="exact"/>
        <w:ind w:firstLine="420" w:firstLineChars="200"/>
        <w:rPr>
          <w:rFonts w:ascii="宋体" w:hAnsi="宋体"/>
          <w:bCs/>
        </w:rPr>
      </w:pPr>
      <w:r>
        <w:rPr>
          <w:rFonts w:hint="eastAsia" w:ascii="宋体" w:hAnsi="宋体"/>
          <w:bCs/>
        </w:rPr>
        <w:t>我公司郑重声明：参加本次采购活动前3年内，我公司在经营活动中没有因违法经营受到刑事处罚或者责令停产停业、吊销许可证或者执照、较大数额罚款等行政处罚。</w:t>
      </w:r>
    </w:p>
    <w:p w14:paraId="6BBC7692">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6AF222B9">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00366BC4">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67B2ED80">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6044050C">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2545D2DD">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31AB7BE6">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65D838A7">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14C4677F">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02F788D7">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49EB1EB2">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76FB7F7B">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7D81A02D">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039FCC54">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7A58DAC1">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23B01E58">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21F6BC81">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3B298C11">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246EF30C">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5D008843">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29820BC4">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469CD46D">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5AEACC92">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5D9FFF53">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63ED272C">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5F92974C">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77F9221E">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07F8D977">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72709E03">
      <w:pPr>
        <w:pStyle w:val="68"/>
        <w:numPr>
          <w:ilvl w:val="0"/>
          <w:numId w:val="0"/>
        </w:numPr>
        <w:shd w:val="clear" w:color="auto" w:fill="auto"/>
        <w:spacing w:line="400" w:lineRule="exact"/>
        <w:ind w:left="0" w:leftChars="0" w:firstLine="0" w:firstLineChars="0"/>
        <w:rPr>
          <w:rFonts w:hint="eastAsia" w:ascii="黑体" w:hAnsi="黑体" w:eastAsia="黑体" w:cs="PMingLiUfalt"/>
          <w:b/>
          <w:bCs/>
          <w:kern w:val="2"/>
          <w:sz w:val="24"/>
          <w:szCs w:val="24"/>
          <w:lang w:val="en-US" w:eastAsia="zh-CN" w:bidi="ar-SA"/>
        </w:rPr>
      </w:pPr>
    </w:p>
    <w:p w14:paraId="6D721EA0">
      <w:pPr>
        <w:pStyle w:val="68"/>
        <w:numPr>
          <w:ilvl w:val="0"/>
          <w:numId w:val="0"/>
        </w:numPr>
        <w:shd w:val="clear" w:color="auto" w:fill="auto"/>
        <w:spacing w:line="400" w:lineRule="exact"/>
        <w:ind w:left="0" w:leftChars="0" w:firstLine="0" w:firstLineChars="0"/>
        <w:rPr>
          <w:rFonts w:hint="eastAsia" w:ascii="黑体" w:hAnsi="黑体" w:eastAsia="黑体"/>
          <w:b/>
          <w:bCs/>
          <w:sz w:val="24"/>
          <w:szCs w:val="24"/>
        </w:rPr>
      </w:pPr>
      <w:r>
        <w:rPr>
          <w:rFonts w:hint="eastAsia" w:ascii="黑体" w:hAnsi="黑体" w:eastAsia="黑体" w:cs="PMingLiUfalt"/>
          <w:b/>
          <w:bCs/>
          <w:kern w:val="2"/>
          <w:sz w:val="24"/>
          <w:szCs w:val="24"/>
          <w:lang w:val="en-US" w:eastAsia="zh-CN" w:bidi="ar-SA"/>
        </w:rPr>
        <w:t>九、</w:t>
      </w: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17A89023">
      <w:pPr>
        <w:pStyle w:val="68"/>
        <w:numPr>
          <w:ilvl w:val="0"/>
          <w:numId w:val="0"/>
        </w:numPr>
        <w:shd w:val="clear" w:color="auto" w:fill="auto"/>
        <w:spacing w:line="400" w:lineRule="exact"/>
        <w:ind w:leftChars="0"/>
        <w:rPr>
          <w:rFonts w:hint="eastAsia" w:ascii="黑体" w:hAnsi="黑体" w:eastAsia="黑体"/>
          <w:b/>
          <w:bCs/>
          <w:sz w:val="24"/>
          <w:szCs w:val="24"/>
        </w:rPr>
      </w:pPr>
    </w:p>
    <w:p w14:paraId="53B3874D">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5521E811">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2DB852A1">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4BD805A7">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3FB3FC1F">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58544C3C">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2A4119F8">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5E99E6EC">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7EFEA882">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0FF3CDD6">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79E50E84">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0298A272">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06D0AA9C">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647DFC27">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67DC7F61">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560FF48F">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4A5C7A76">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331ED968">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5F47145D">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662AE86F">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06567988">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0B5C20B6">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355212BE">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322B8271">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39CCB4F8">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10123E32">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05B564BB">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50E85902">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01AFF6B0">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2A376809">
      <w:pPr>
        <w:numPr>
          <w:ilvl w:val="0"/>
          <w:numId w:val="0"/>
        </w:numPr>
        <w:spacing w:line="400" w:lineRule="exact"/>
        <w:ind w:left="0" w:leftChars="0" w:firstLine="0" w:firstLineChars="0"/>
        <w:rPr>
          <w:rFonts w:hint="eastAsia" w:ascii="黑体" w:hAnsi="黑体" w:eastAsia="黑体" w:cs="Times New Roman"/>
          <w:b/>
          <w:bCs/>
          <w:kern w:val="2"/>
          <w:sz w:val="24"/>
          <w:szCs w:val="24"/>
          <w:lang w:val="en-US" w:eastAsia="zh-CN" w:bidi="ar-SA"/>
        </w:rPr>
      </w:pPr>
    </w:p>
    <w:p w14:paraId="08EEB0DD">
      <w:pPr>
        <w:numPr>
          <w:ilvl w:val="0"/>
          <w:numId w:val="0"/>
        </w:numPr>
        <w:spacing w:line="400" w:lineRule="exact"/>
        <w:ind w:left="0" w:leftChars="0" w:firstLine="0" w:firstLineChars="0"/>
        <w:rPr>
          <w:rFonts w:hint="eastAsia" w:ascii="黑体" w:hAnsi="黑体" w:eastAsia="黑体"/>
          <w:b/>
          <w:bCs/>
          <w:sz w:val="24"/>
          <w:szCs w:val="24"/>
        </w:rPr>
      </w:pPr>
      <w:r>
        <w:rPr>
          <w:rFonts w:hint="eastAsia" w:ascii="黑体" w:hAnsi="黑体" w:eastAsia="黑体" w:cs="Times New Roman"/>
          <w:b/>
          <w:bCs/>
          <w:kern w:val="2"/>
          <w:sz w:val="24"/>
          <w:szCs w:val="24"/>
          <w:lang w:val="en-US" w:eastAsia="zh-CN" w:bidi="ar-SA"/>
        </w:rPr>
        <w:t>十、</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05D0C7D8">
      <w:pPr>
        <w:pStyle w:val="37"/>
        <w:numPr>
          <w:ilvl w:val="0"/>
          <w:numId w:val="0"/>
        </w:numPr>
        <w:ind w:leftChars="0"/>
      </w:pPr>
    </w:p>
    <w:p w14:paraId="56E7F602">
      <w:pPr>
        <w:spacing w:line="400" w:lineRule="exact"/>
        <w:rPr>
          <w:rFonts w:hint="eastAsia" w:ascii="黑体" w:hAnsi="黑体" w:eastAsia="黑体"/>
          <w:b/>
          <w:bCs/>
          <w:sz w:val="24"/>
          <w:szCs w:val="24"/>
        </w:rPr>
      </w:pPr>
    </w:p>
    <w:p w14:paraId="73C216F5">
      <w:pPr>
        <w:spacing w:line="400" w:lineRule="exact"/>
        <w:rPr>
          <w:rFonts w:hint="eastAsia" w:ascii="黑体" w:hAnsi="黑体" w:eastAsia="黑体"/>
          <w:b/>
          <w:bCs/>
          <w:sz w:val="24"/>
          <w:szCs w:val="24"/>
        </w:rPr>
      </w:pPr>
    </w:p>
    <w:p w14:paraId="36517BAA">
      <w:pPr>
        <w:spacing w:line="400" w:lineRule="exact"/>
        <w:rPr>
          <w:rFonts w:hint="eastAsia" w:ascii="黑体" w:hAnsi="黑体" w:eastAsia="黑体"/>
          <w:b/>
          <w:bCs/>
          <w:sz w:val="24"/>
          <w:szCs w:val="24"/>
        </w:rPr>
      </w:pPr>
    </w:p>
    <w:p w14:paraId="3578239C">
      <w:pPr>
        <w:spacing w:line="400" w:lineRule="exact"/>
        <w:rPr>
          <w:rFonts w:hint="eastAsia" w:ascii="黑体" w:hAnsi="黑体" w:eastAsia="黑体"/>
          <w:b/>
          <w:bCs/>
          <w:sz w:val="24"/>
          <w:szCs w:val="24"/>
        </w:rPr>
      </w:pPr>
    </w:p>
    <w:p w14:paraId="098B0B73">
      <w:pPr>
        <w:spacing w:line="400" w:lineRule="exact"/>
        <w:rPr>
          <w:rFonts w:hint="eastAsia" w:ascii="黑体" w:hAnsi="黑体" w:eastAsia="黑体"/>
          <w:b/>
          <w:bCs/>
          <w:sz w:val="24"/>
          <w:szCs w:val="24"/>
        </w:rPr>
      </w:pPr>
    </w:p>
    <w:p w14:paraId="3718F196">
      <w:pPr>
        <w:spacing w:line="400" w:lineRule="exact"/>
        <w:rPr>
          <w:rFonts w:hint="eastAsia" w:ascii="黑体" w:hAnsi="黑体" w:eastAsia="黑体"/>
          <w:b/>
          <w:bCs/>
          <w:sz w:val="24"/>
          <w:szCs w:val="24"/>
        </w:rPr>
      </w:pPr>
    </w:p>
    <w:p w14:paraId="3A584948">
      <w:pPr>
        <w:spacing w:line="400" w:lineRule="exact"/>
        <w:rPr>
          <w:rFonts w:hint="eastAsia" w:ascii="黑体" w:hAnsi="黑体" w:eastAsia="黑体"/>
          <w:b/>
          <w:bCs/>
          <w:sz w:val="24"/>
          <w:szCs w:val="24"/>
        </w:rPr>
      </w:pPr>
    </w:p>
    <w:p w14:paraId="675A8F97">
      <w:pPr>
        <w:spacing w:line="400" w:lineRule="exact"/>
        <w:rPr>
          <w:rFonts w:hint="eastAsia" w:ascii="黑体" w:hAnsi="黑体" w:eastAsia="黑体"/>
          <w:b/>
          <w:bCs/>
          <w:sz w:val="24"/>
          <w:szCs w:val="24"/>
        </w:rPr>
      </w:pPr>
    </w:p>
    <w:p w14:paraId="5416026C">
      <w:pPr>
        <w:pStyle w:val="10"/>
        <w:rPr>
          <w:rFonts w:hint="eastAsia" w:ascii="黑体" w:hAnsi="黑体" w:eastAsia="黑体"/>
          <w:b/>
          <w:bCs/>
          <w:sz w:val="24"/>
          <w:szCs w:val="24"/>
        </w:rPr>
      </w:pPr>
    </w:p>
    <w:p w14:paraId="0E516299">
      <w:pPr>
        <w:pStyle w:val="11"/>
        <w:rPr>
          <w:rFonts w:hint="eastAsia" w:ascii="黑体" w:hAnsi="黑体" w:eastAsia="黑体"/>
          <w:b/>
          <w:bCs/>
          <w:sz w:val="24"/>
          <w:szCs w:val="24"/>
        </w:rPr>
      </w:pPr>
    </w:p>
    <w:p w14:paraId="7FD3A6FB">
      <w:pPr>
        <w:pStyle w:val="11"/>
        <w:rPr>
          <w:rFonts w:hint="eastAsia" w:ascii="黑体" w:hAnsi="黑体" w:eastAsia="黑体"/>
          <w:b/>
          <w:bCs/>
          <w:sz w:val="24"/>
          <w:szCs w:val="24"/>
        </w:rPr>
      </w:pPr>
    </w:p>
    <w:p w14:paraId="039C1D28">
      <w:pPr>
        <w:pStyle w:val="11"/>
        <w:rPr>
          <w:rFonts w:hint="eastAsia" w:ascii="黑体" w:hAnsi="黑体" w:eastAsia="黑体"/>
          <w:b/>
          <w:bCs/>
          <w:sz w:val="24"/>
          <w:szCs w:val="24"/>
        </w:rPr>
      </w:pPr>
    </w:p>
    <w:p w14:paraId="407691D3">
      <w:pPr>
        <w:pStyle w:val="11"/>
        <w:rPr>
          <w:rFonts w:hint="eastAsia" w:ascii="黑体" w:hAnsi="黑体" w:eastAsia="黑体"/>
          <w:b/>
          <w:bCs/>
          <w:sz w:val="24"/>
          <w:szCs w:val="24"/>
        </w:rPr>
      </w:pPr>
    </w:p>
    <w:p w14:paraId="201574CB">
      <w:pPr>
        <w:pStyle w:val="11"/>
        <w:rPr>
          <w:rFonts w:hint="eastAsia" w:ascii="黑体" w:hAnsi="黑体" w:eastAsia="黑体"/>
          <w:b/>
          <w:bCs/>
          <w:sz w:val="24"/>
          <w:szCs w:val="24"/>
        </w:rPr>
      </w:pPr>
    </w:p>
    <w:p w14:paraId="69928140">
      <w:pPr>
        <w:pStyle w:val="11"/>
        <w:rPr>
          <w:rFonts w:hint="eastAsia" w:ascii="黑体" w:hAnsi="黑体" w:eastAsia="黑体"/>
          <w:b/>
          <w:bCs/>
          <w:sz w:val="24"/>
          <w:szCs w:val="24"/>
        </w:rPr>
      </w:pPr>
    </w:p>
    <w:p w14:paraId="5EFCDE1F">
      <w:pPr>
        <w:pStyle w:val="11"/>
        <w:rPr>
          <w:rFonts w:hint="eastAsia" w:ascii="黑体" w:hAnsi="黑体" w:eastAsia="黑体"/>
          <w:b/>
          <w:bCs/>
          <w:sz w:val="24"/>
          <w:szCs w:val="24"/>
        </w:rPr>
      </w:pPr>
    </w:p>
    <w:p w14:paraId="1AB92D78">
      <w:pPr>
        <w:pStyle w:val="11"/>
        <w:rPr>
          <w:rFonts w:hint="eastAsia" w:ascii="黑体" w:hAnsi="黑体" w:eastAsia="黑体"/>
          <w:b/>
          <w:bCs/>
          <w:sz w:val="24"/>
          <w:szCs w:val="24"/>
        </w:rPr>
      </w:pPr>
    </w:p>
    <w:p w14:paraId="0572101D">
      <w:pPr>
        <w:pStyle w:val="11"/>
        <w:rPr>
          <w:rFonts w:hint="eastAsia" w:ascii="黑体" w:hAnsi="黑体" w:eastAsia="黑体"/>
          <w:b/>
          <w:bCs/>
          <w:sz w:val="24"/>
          <w:szCs w:val="24"/>
        </w:rPr>
      </w:pPr>
    </w:p>
    <w:p w14:paraId="729D7B50">
      <w:pPr>
        <w:spacing w:line="400" w:lineRule="exact"/>
        <w:rPr>
          <w:rFonts w:hint="eastAsia" w:ascii="黑体" w:hAnsi="黑体" w:eastAsia="黑体"/>
          <w:b/>
          <w:bCs/>
          <w:sz w:val="24"/>
          <w:szCs w:val="24"/>
        </w:rPr>
      </w:pPr>
    </w:p>
    <w:p w14:paraId="695EE20C">
      <w:pPr>
        <w:spacing w:line="400" w:lineRule="exact"/>
        <w:rPr>
          <w:rFonts w:hint="eastAsia" w:ascii="黑体" w:hAnsi="黑体" w:eastAsia="黑体"/>
          <w:b/>
          <w:bCs/>
          <w:sz w:val="24"/>
          <w:szCs w:val="24"/>
        </w:rPr>
      </w:pPr>
    </w:p>
    <w:p w14:paraId="4BAB18CE">
      <w:pPr>
        <w:spacing w:line="400" w:lineRule="exact"/>
        <w:rPr>
          <w:rFonts w:hint="eastAsia" w:ascii="黑体" w:hAnsi="黑体" w:eastAsia="黑体"/>
          <w:b/>
          <w:bCs/>
          <w:sz w:val="24"/>
          <w:szCs w:val="24"/>
        </w:rPr>
      </w:pPr>
    </w:p>
    <w:p w14:paraId="31289031">
      <w:pPr>
        <w:spacing w:line="400" w:lineRule="exact"/>
        <w:rPr>
          <w:rFonts w:hint="eastAsia" w:ascii="黑体" w:hAnsi="黑体" w:eastAsia="黑体"/>
          <w:b/>
          <w:bCs/>
          <w:sz w:val="24"/>
          <w:szCs w:val="24"/>
        </w:rPr>
      </w:pPr>
    </w:p>
    <w:p w14:paraId="5BC93E1E">
      <w:pPr>
        <w:spacing w:line="400" w:lineRule="exact"/>
        <w:rPr>
          <w:rFonts w:hint="eastAsia" w:ascii="黑体" w:hAnsi="黑体" w:eastAsia="黑体"/>
          <w:b/>
          <w:bCs/>
          <w:sz w:val="24"/>
          <w:szCs w:val="24"/>
        </w:rPr>
      </w:pPr>
    </w:p>
    <w:p w14:paraId="53EF6B4D">
      <w:pPr>
        <w:spacing w:line="400" w:lineRule="exact"/>
        <w:rPr>
          <w:rFonts w:hint="eastAsia" w:ascii="黑体" w:hAnsi="黑体" w:eastAsia="黑体"/>
          <w:b/>
          <w:bCs/>
          <w:sz w:val="24"/>
          <w:szCs w:val="24"/>
        </w:rPr>
      </w:pPr>
    </w:p>
    <w:p w14:paraId="37579E61">
      <w:pPr>
        <w:spacing w:line="400" w:lineRule="exact"/>
        <w:rPr>
          <w:rFonts w:hint="eastAsia" w:ascii="黑体" w:hAnsi="黑体" w:eastAsia="黑体"/>
          <w:b/>
          <w:bCs/>
          <w:sz w:val="24"/>
          <w:szCs w:val="24"/>
        </w:rPr>
      </w:pPr>
    </w:p>
    <w:p w14:paraId="0E65CC1A">
      <w:pPr>
        <w:spacing w:line="400" w:lineRule="exact"/>
        <w:rPr>
          <w:rFonts w:ascii="黑体" w:hAnsi="黑体" w:eastAsia="黑体"/>
          <w:b/>
          <w:bCs/>
          <w:sz w:val="24"/>
          <w:szCs w:val="24"/>
        </w:rPr>
      </w:pPr>
      <w:r>
        <w:rPr>
          <w:rFonts w:hint="eastAsia" w:ascii="黑体" w:hAnsi="黑体" w:eastAsia="黑体"/>
          <w:b/>
          <w:bCs/>
          <w:sz w:val="24"/>
          <w:szCs w:val="24"/>
          <w:lang w:val="en-US" w:eastAsia="zh-CN"/>
        </w:rPr>
        <w:t>十一</w:t>
      </w:r>
      <w:r>
        <w:rPr>
          <w:rFonts w:ascii="黑体" w:hAnsi="黑体" w:eastAsia="黑体"/>
          <w:b/>
          <w:bCs/>
          <w:sz w:val="24"/>
          <w:szCs w:val="24"/>
        </w:rPr>
        <w:t>、报价一览表</w:t>
      </w:r>
    </w:p>
    <w:p w14:paraId="2EF14F77">
      <w:pPr>
        <w:outlineLvl w:val="0"/>
        <w:rPr>
          <w:rFonts w:eastAsia="黑体"/>
          <w:bCs/>
          <w:sz w:val="24"/>
          <w:szCs w:val="24"/>
        </w:rPr>
      </w:pPr>
    </w:p>
    <w:p w14:paraId="4AA190C7">
      <w:pPr>
        <w:spacing w:line="360" w:lineRule="auto"/>
        <w:jc w:val="center"/>
        <w:rPr>
          <w:rFonts w:ascii="宋体" w:hAnsi="宋体"/>
          <w:b/>
          <w:szCs w:val="21"/>
        </w:rPr>
      </w:pPr>
      <w:r>
        <w:rPr>
          <w:rFonts w:hint="eastAsia" w:ascii="宋体" w:hAnsi="宋体"/>
          <w:b/>
          <w:szCs w:val="21"/>
          <w:lang w:eastAsia="zh-CN"/>
        </w:rPr>
        <w:t>磋商响</w:t>
      </w:r>
      <w:r>
        <w:rPr>
          <w:rFonts w:hint="eastAsia" w:ascii="宋体" w:hAnsi="宋体"/>
          <w:b/>
          <w:szCs w:val="21"/>
        </w:rPr>
        <w:t>应报价表</w:t>
      </w:r>
    </w:p>
    <w:p w14:paraId="53721304">
      <w:pPr>
        <w:spacing w:line="360" w:lineRule="auto"/>
        <w:rPr>
          <w:rFonts w:ascii="宋体" w:hAnsi="宋体"/>
          <w:szCs w:val="21"/>
        </w:rPr>
      </w:pPr>
    </w:p>
    <w:p w14:paraId="4BEB9CC7">
      <w:pPr>
        <w:pStyle w:val="15"/>
        <w:spacing w:line="360" w:lineRule="auto"/>
        <w:rPr>
          <w:rFonts w:ascii="宋体" w:hAnsi="宋体"/>
          <w:szCs w:val="21"/>
        </w:rPr>
      </w:pPr>
      <w:r>
        <w:rPr>
          <w:rFonts w:hint="eastAsia" w:ascii="宋体" w:hAnsi="宋体"/>
          <w:sz w:val="21"/>
          <w:szCs w:val="21"/>
        </w:rPr>
        <w:t xml:space="preserve">项目名称： </w:t>
      </w:r>
    </w:p>
    <w:tbl>
      <w:tblPr>
        <w:tblStyle w:val="2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765"/>
      </w:tblGrid>
      <w:tr w14:paraId="058F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913" w:type="dxa"/>
            <w:tcBorders>
              <w:top w:val="single" w:color="auto" w:sz="4" w:space="0"/>
              <w:left w:val="single" w:color="auto" w:sz="4" w:space="0"/>
              <w:bottom w:val="single" w:color="auto" w:sz="4" w:space="0"/>
              <w:right w:val="single" w:color="auto" w:sz="4" w:space="0"/>
            </w:tcBorders>
            <w:noWrap/>
            <w:vAlign w:val="center"/>
          </w:tcPr>
          <w:p w14:paraId="70171627">
            <w:pPr>
              <w:pStyle w:val="10"/>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服务名称</w:t>
            </w:r>
          </w:p>
        </w:tc>
        <w:tc>
          <w:tcPr>
            <w:tcW w:w="6765" w:type="dxa"/>
            <w:tcBorders>
              <w:top w:val="single" w:color="auto" w:sz="4" w:space="0"/>
              <w:left w:val="single" w:color="auto" w:sz="4" w:space="0"/>
              <w:bottom w:val="single" w:color="auto" w:sz="4" w:space="0"/>
              <w:right w:val="single" w:color="auto" w:sz="4" w:space="0"/>
            </w:tcBorders>
            <w:noWrap/>
            <w:vAlign w:val="center"/>
          </w:tcPr>
          <w:p w14:paraId="3161473F">
            <w:pPr>
              <w:adjustRightInd w:val="0"/>
              <w:snapToGrid w:val="0"/>
              <w:spacing w:after="200" w:line="220" w:lineRule="atLeast"/>
              <w:jc w:val="center"/>
              <w:rPr>
                <w:rFonts w:hint="eastAsia" w:ascii="宋体" w:hAnsi="宋体" w:eastAsia="宋体" w:cs="宋体"/>
                <w:szCs w:val="21"/>
                <w:lang w:eastAsia="zh-CN"/>
              </w:rPr>
            </w:pPr>
            <w:r>
              <w:rPr>
                <w:rFonts w:hint="eastAsia" w:ascii="宋体" w:hAnsi="宋体"/>
                <w:szCs w:val="21"/>
              </w:rPr>
              <w:t>第一轮报价</w:t>
            </w:r>
          </w:p>
        </w:tc>
      </w:tr>
      <w:tr w14:paraId="4FA8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913" w:type="dxa"/>
            <w:tcBorders>
              <w:top w:val="single" w:color="auto" w:sz="4" w:space="0"/>
              <w:left w:val="single" w:color="auto" w:sz="4" w:space="0"/>
              <w:bottom w:val="single" w:color="auto" w:sz="4" w:space="0"/>
              <w:right w:val="single" w:color="auto" w:sz="4" w:space="0"/>
            </w:tcBorders>
            <w:noWrap/>
            <w:vAlign w:val="center"/>
          </w:tcPr>
          <w:p w14:paraId="5D27E4EF">
            <w:pPr>
              <w:pStyle w:val="10"/>
              <w:adjustRightInd w:val="0"/>
              <w:snapToGrid w:val="0"/>
              <w:spacing w:line="300" w:lineRule="auto"/>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项目报价</w:t>
            </w:r>
          </w:p>
        </w:tc>
        <w:tc>
          <w:tcPr>
            <w:tcW w:w="6765" w:type="dxa"/>
            <w:tcBorders>
              <w:top w:val="single" w:color="auto" w:sz="4" w:space="0"/>
              <w:left w:val="single" w:color="auto" w:sz="4" w:space="0"/>
              <w:bottom w:val="single" w:color="auto" w:sz="4" w:space="0"/>
              <w:right w:val="single" w:color="auto" w:sz="4" w:space="0"/>
            </w:tcBorders>
            <w:noWrap/>
            <w:vAlign w:val="center"/>
          </w:tcPr>
          <w:p w14:paraId="349BA873">
            <w:pPr>
              <w:adjustRightInd w:val="0"/>
              <w:snapToGrid w:val="0"/>
              <w:spacing w:after="200" w:line="220" w:lineRule="atLeast"/>
              <w:jc w:val="left"/>
              <w:rPr>
                <w:rFonts w:hint="eastAsia" w:ascii="宋体" w:hAnsi="宋体"/>
                <w:szCs w:val="21"/>
                <w:lang w:val="en-US" w:eastAsia="zh-CN"/>
              </w:rPr>
            </w:pPr>
            <w:r>
              <w:rPr>
                <w:rFonts w:hint="eastAsia" w:ascii="宋体" w:hAnsi="宋体"/>
                <w:szCs w:val="21"/>
                <w:lang w:val="en-US" w:eastAsia="zh-CN"/>
              </w:rPr>
              <w:t>金额（大写）：                 （元/人）</w:t>
            </w:r>
          </w:p>
          <w:p w14:paraId="039806C0">
            <w:pPr>
              <w:adjustRightInd w:val="0"/>
              <w:snapToGrid w:val="0"/>
              <w:spacing w:after="200" w:line="220" w:lineRule="atLeast"/>
              <w:jc w:val="left"/>
              <w:rPr>
                <w:rFonts w:hint="default" w:ascii="宋体" w:hAnsi="宋体"/>
                <w:szCs w:val="21"/>
                <w:lang w:val="en-US" w:eastAsia="zh-CN"/>
              </w:rPr>
            </w:pPr>
            <w:r>
              <w:rPr>
                <w:rFonts w:hint="eastAsia" w:ascii="宋体" w:hAnsi="宋体"/>
                <w:szCs w:val="21"/>
                <w:lang w:val="en-US" w:eastAsia="zh-CN"/>
              </w:rPr>
              <w:t>金额（小写）：                 （元/人）</w:t>
            </w:r>
          </w:p>
        </w:tc>
      </w:tr>
      <w:tr w14:paraId="08D8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913" w:type="dxa"/>
            <w:tcBorders>
              <w:top w:val="single" w:color="auto" w:sz="4" w:space="0"/>
              <w:left w:val="single" w:color="auto" w:sz="4" w:space="0"/>
              <w:bottom w:val="single" w:color="auto" w:sz="4" w:space="0"/>
              <w:right w:val="single" w:color="auto" w:sz="4" w:space="0"/>
            </w:tcBorders>
            <w:noWrap/>
            <w:vAlign w:val="center"/>
          </w:tcPr>
          <w:p w14:paraId="1AFBC20A">
            <w:pPr>
              <w:pStyle w:val="10"/>
              <w:adjustRightInd w:val="0"/>
              <w:snapToGrid w:val="0"/>
              <w:spacing w:line="300" w:lineRule="auto"/>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观影卷数量</w:t>
            </w:r>
          </w:p>
        </w:tc>
        <w:tc>
          <w:tcPr>
            <w:tcW w:w="6765" w:type="dxa"/>
            <w:tcBorders>
              <w:top w:val="single" w:color="auto" w:sz="4" w:space="0"/>
              <w:left w:val="single" w:color="auto" w:sz="4" w:space="0"/>
              <w:bottom w:val="single" w:color="auto" w:sz="4" w:space="0"/>
              <w:right w:val="single" w:color="auto" w:sz="4" w:space="0"/>
            </w:tcBorders>
            <w:noWrap/>
            <w:vAlign w:val="center"/>
          </w:tcPr>
          <w:p w14:paraId="27C242E7">
            <w:pPr>
              <w:pStyle w:val="10"/>
              <w:adjustRightInd w:val="0"/>
              <w:snapToGrid w:val="0"/>
              <w:spacing w:line="300" w:lineRule="auto"/>
              <w:rPr>
                <w:rFonts w:ascii="宋体" w:hAnsi="宋体" w:eastAsia="宋体" w:cs="宋体"/>
                <w:kern w:val="2"/>
                <w:sz w:val="21"/>
                <w:szCs w:val="21"/>
              </w:rPr>
            </w:pPr>
          </w:p>
          <w:p w14:paraId="1ACFDEA0">
            <w:pPr>
              <w:pStyle w:val="61"/>
              <w:spacing w:before="0" w:after="0" w:line="500" w:lineRule="exact"/>
              <w:ind w:firstLine="0"/>
              <w:rPr>
                <w:rFonts w:hint="eastAsia" w:ascii="宋体" w:hAnsi="宋体" w:cs="宋体"/>
                <w:sz w:val="21"/>
                <w:szCs w:val="21"/>
              </w:rPr>
            </w:pPr>
            <w:r>
              <w:rPr>
                <w:rFonts w:hint="eastAsia" w:ascii="宋体" w:hAnsi="宋体" w:cs="宋体"/>
                <w:sz w:val="21"/>
                <w:szCs w:val="21"/>
                <w:lang w:val="en-US" w:eastAsia="zh-CN"/>
              </w:rPr>
              <w:t>大</w:t>
            </w:r>
            <w:r>
              <w:rPr>
                <w:rFonts w:hint="eastAsia" w:ascii="宋体" w:hAnsi="宋体" w:cs="宋体"/>
                <w:sz w:val="21"/>
                <w:szCs w:val="21"/>
              </w:rPr>
              <w:t xml:space="preserve">写：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张</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w:t>
            </w:r>
            <w:r>
              <w:rPr>
                <w:rFonts w:hint="eastAsia" w:ascii="宋体" w:hAnsi="宋体" w:cs="宋体"/>
                <w:sz w:val="21"/>
                <w:szCs w:val="21"/>
              </w:rPr>
              <w:t xml:space="preserve"> </w:t>
            </w:r>
          </w:p>
          <w:p w14:paraId="04D95F12">
            <w:pPr>
              <w:pStyle w:val="61"/>
              <w:spacing w:before="0" w:after="0" w:line="500" w:lineRule="exact"/>
              <w:ind w:firstLine="0"/>
              <w:rPr>
                <w:rFonts w:hint="default" w:ascii="宋体" w:hAnsi="宋体" w:eastAsia="宋体" w:cs="宋体"/>
                <w:sz w:val="21"/>
                <w:szCs w:val="21"/>
                <w:lang w:val="en-US" w:eastAsia="zh-CN"/>
              </w:rPr>
            </w:pPr>
            <w:r>
              <w:rPr>
                <w:rFonts w:hint="eastAsia" w:ascii="宋体" w:hAnsi="宋体" w:cs="宋体"/>
                <w:sz w:val="21"/>
                <w:szCs w:val="21"/>
                <w:lang w:val="en-US" w:eastAsia="zh-CN"/>
              </w:rPr>
              <w:t>小写：             （张/人）</w:t>
            </w:r>
          </w:p>
        </w:tc>
      </w:tr>
      <w:tr w14:paraId="2D6A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1913" w:type="dxa"/>
            <w:tcBorders>
              <w:top w:val="single" w:color="auto" w:sz="4" w:space="0"/>
              <w:left w:val="single" w:color="auto" w:sz="4" w:space="0"/>
              <w:bottom w:val="single" w:color="auto" w:sz="4" w:space="0"/>
              <w:right w:val="single" w:color="auto" w:sz="4" w:space="0"/>
            </w:tcBorders>
            <w:noWrap/>
            <w:vAlign w:val="center"/>
          </w:tcPr>
          <w:p w14:paraId="12464651">
            <w:pPr>
              <w:pStyle w:val="10"/>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备注</w:t>
            </w:r>
          </w:p>
        </w:tc>
        <w:tc>
          <w:tcPr>
            <w:tcW w:w="6765" w:type="dxa"/>
            <w:tcBorders>
              <w:top w:val="single" w:color="auto" w:sz="4" w:space="0"/>
              <w:left w:val="single" w:color="auto" w:sz="4" w:space="0"/>
              <w:bottom w:val="single" w:color="auto" w:sz="4" w:space="0"/>
              <w:right w:val="single" w:color="auto" w:sz="4" w:space="0"/>
            </w:tcBorders>
            <w:noWrap/>
            <w:vAlign w:val="center"/>
          </w:tcPr>
          <w:p w14:paraId="2F860E26">
            <w:pPr>
              <w:pStyle w:val="10"/>
              <w:adjustRightInd w:val="0"/>
              <w:snapToGrid w:val="0"/>
              <w:spacing w:line="300" w:lineRule="auto"/>
              <w:rPr>
                <w:rFonts w:ascii="宋体" w:hAnsi="宋体" w:eastAsia="宋体" w:cs="宋体"/>
                <w:kern w:val="2"/>
                <w:sz w:val="21"/>
                <w:szCs w:val="21"/>
              </w:rPr>
            </w:pPr>
          </w:p>
        </w:tc>
      </w:tr>
    </w:tbl>
    <w:p w14:paraId="02C9AD7B">
      <w:pPr>
        <w:spacing w:line="360" w:lineRule="auto"/>
        <w:rPr>
          <w:rFonts w:ascii="宋体" w:hAnsi="宋体"/>
          <w:szCs w:val="21"/>
        </w:rPr>
      </w:pPr>
    </w:p>
    <w:p w14:paraId="38B8C8C4">
      <w:pPr>
        <w:spacing w:line="360" w:lineRule="auto"/>
        <w:rPr>
          <w:rFonts w:ascii="宋体" w:hAnsi="宋体"/>
          <w:szCs w:val="21"/>
        </w:rPr>
      </w:pPr>
      <w:r>
        <w:rPr>
          <w:rFonts w:hint="eastAsia" w:ascii="宋体" w:hAnsi="宋体"/>
          <w:szCs w:val="21"/>
        </w:rPr>
        <w:t xml:space="preserve">法定代表人或者授权代表（签字或盖章）：                    </w:t>
      </w:r>
    </w:p>
    <w:p w14:paraId="209B00A4">
      <w:pPr>
        <w:spacing w:line="360" w:lineRule="auto"/>
        <w:rPr>
          <w:rFonts w:ascii="宋体" w:hAnsi="宋体"/>
          <w:szCs w:val="21"/>
          <w:u w:val="single"/>
        </w:rPr>
      </w:pPr>
      <w:r>
        <w:rPr>
          <w:rFonts w:hint="eastAsia" w:ascii="宋体" w:hAnsi="宋体"/>
          <w:szCs w:val="21"/>
        </w:rPr>
        <w:t>谈判供应商全称（盖章）：</w:t>
      </w:r>
    </w:p>
    <w:p w14:paraId="0BC7E88A">
      <w:pPr>
        <w:spacing w:line="360" w:lineRule="auto"/>
        <w:rPr>
          <w:rFonts w:ascii="宋体" w:hAnsi="宋体"/>
          <w:szCs w:val="21"/>
        </w:rPr>
      </w:pPr>
      <w:r>
        <w:rPr>
          <w:rFonts w:hint="eastAsia" w:ascii="宋体" w:hAnsi="宋体"/>
          <w:szCs w:val="21"/>
        </w:rPr>
        <w:t xml:space="preserve">                                               日期：    年   月    日</w:t>
      </w:r>
    </w:p>
    <w:p w14:paraId="0074CD7D">
      <w:pPr>
        <w:spacing w:line="360" w:lineRule="auto"/>
        <w:ind w:firstLine="480"/>
        <w:rPr>
          <w:rFonts w:hint="eastAsia" w:ascii="宋体" w:hAnsi="宋体"/>
          <w:i/>
          <w:szCs w:val="21"/>
        </w:rPr>
      </w:pPr>
      <w:r>
        <w:rPr>
          <w:rFonts w:hint="eastAsia" w:ascii="宋体" w:hAnsi="宋体"/>
          <w:szCs w:val="21"/>
        </w:rPr>
        <w:t>填写说明：</w:t>
      </w:r>
      <w:r>
        <w:rPr>
          <w:rFonts w:hint="eastAsia" w:ascii="宋体" w:hAnsi="宋体"/>
          <w:i/>
          <w:szCs w:val="21"/>
          <w:u w:val="single"/>
        </w:rPr>
        <w:t>响应报价表</w:t>
      </w:r>
      <w:r>
        <w:rPr>
          <w:rFonts w:hint="eastAsia" w:ascii="宋体" w:hAnsi="宋体"/>
          <w:bCs/>
          <w:i/>
          <w:iCs/>
          <w:szCs w:val="21"/>
          <w:u w:val="single"/>
        </w:rPr>
        <w:t>必须加盖供应商公章（复印件无效）</w:t>
      </w:r>
      <w:r>
        <w:rPr>
          <w:rFonts w:hint="eastAsia" w:ascii="宋体" w:hAnsi="宋体"/>
          <w:i/>
          <w:szCs w:val="21"/>
        </w:rPr>
        <w:t>。</w:t>
      </w:r>
    </w:p>
    <w:p w14:paraId="3FAD9085">
      <w:pPr>
        <w:spacing w:after="312" w:afterLines="100" w:line="360" w:lineRule="auto"/>
        <w:jc w:val="center"/>
        <w:rPr>
          <w:rFonts w:hint="eastAsia" w:ascii="宋体" w:hAnsi="宋体"/>
          <w:i/>
          <w:szCs w:val="21"/>
        </w:rPr>
      </w:pPr>
    </w:p>
    <w:p w14:paraId="53BFFD18">
      <w:pPr>
        <w:spacing w:after="312" w:afterLines="100" w:line="360" w:lineRule="auto"/>
        <w:jc w:val="center"/>
        <w:rPr>
          <w:rFonts w:hint="eastAsia" w:ascii="宋体" w:hAnsi="宋体"/>
          <w:i/>
          <w:szCs w:val="21"/>
        </w:rPr>
      </w:pPr>
    </w:p>
    <w:p w14:paraId="4F5E8381">
      <w:pPr>
        <w:spacing w:after="312" w:afterLines="100" w:line="360" w:lineRule="auto"/>
        <w:jc w:val="center"/>
        <w:rPr>
          <w:rFonts w:hint="eastAsia" w:ascii="宋体" w:hAnsi="宋体"/>
          <w:i/>
          <w:szCs w:val="21"/>
        </w:rPr>
      </w:pPr>
    </w:p>
    <w:p w14:paraId="37BE3AD8">
      <w:pPr>
        <w:spacing w:after="312" w:afterLines="100" w:line="360" w:lineRule="auto"/>
        <w:jc w:val="center"/>
        <w:rPr>
          <w:rFonts w:hint="eastAsia" w:ascii="宋体" w:hAnsi="宋体"/>
          <w:i/>
          <w:szCs w:val="21"/>
        </w:rPr>
      </w:pPr>
    </w:p>
    <w:p w14:paraId="2395DC6A">
      <w:pPr>
        <w:pStyle w:val="10"/>
        <w:rPr>
          <w:rFonts w:hint="eastAsia" w:ascii="宋体" w:hAnsi="宋体"/>
          <w:i/>
          <w:szCs w:val="21"/>
        </w:rPr>
      </w:pPr>
    </w:p>
    <w:p w14:paraId="443238CD">
      <w:pPr>
        <w:pStyle w:val="11"/>
        <w:rPr>
          <w:rFonts w:hint="eastAsia" w:ascii="宋体" w:hAnsi="宋体"/>
          <w:i/>
          <w:szCs w:val="21"/>
        </w:rPr>
      </w:pPr>
    </w:p>
    <w:p w14:paraId="0F5E7BE5">
      <w:pPr>
        <w:pStyle w:val="11"/>
        <w:rPr>
          <w:rFonts w:hint="eastAsia" w:ascii="宋体" w:hAnsi="宋体"/>
          <w:i/>
          <w:szCs w:val="21"/>
        </w:rPr>
      </w:pPr>
    </w:p>
    <w:p w14:paraId="6A65F096">
      <w:pPr>
        <w:pStyle w:val="6"/>
        <w:pageBreakBefore w:val="0"/>
        <w:kinsoku/>
        <w:overflowPunct/>
        <w:topLinePunct w:val="0"/>
        <w:bidi w:val="0"/>
        <w:spacing w:line="360" w:lineRule="auto"/>
        <w:ind w:firstLine="0"/>
        <w:jc w:val="center"/>
        <w:rPr>
          <w:rFonts w:ascii="Times New Roman" w:hAnsi="Times New Roman" w:eastAsia="宋体"/>
          <w:color w:val="auto"/>
          <w:sz w:val="21"/>
        </w:rPr>
      </w:pPr>
      <w:r>
        <w:rPr>
          <w:rFonts w:hint="eastAsia" w:ascii="Times New Roman" w:hAnsi="Times New Roman" w:eastAsia="宋体"/>
          <w:b/>
          <w:bCs/>
          <w:color w:val="auto"/>
          <w:sz w:val="21"/>
        </w:rPr>
        <w:t>响应偏离表</w:t>
      </w:r>
    </w:p>
    <w:p w14:paraId="4FFF9FB6">
      <w:pPr>
        <w:pageBreakBefore w:val="0"/>
        <w:kinsoku/>
        <w:overflowPunct/>
        <w:topLinePunct w:val="0"/>
        <w:bidi w:val="0"/>
        <w:spacing w:line="360" w:lineRule="auto"/>
        <w:jc w:val="center"/>
        <w:rPr>
          <w:rFonts w:hint="eastAsia" w:ascii="Times New Roman" w:hAnsi="Times New Roman" w:eastAsia="宋体"/>
          <w:b/>
          <w:bCs/>
          <w:color w:val="auto"/>
          <w:szCs w:val="21"/>
        </w:rPr>
      </w:pPr>
    </w:p>
    <w:p w14:paraId="6D96309F">
      <w:pPr>
        <w:pageBreakBefore w:val="0"/>
        <w:kinsoku/>
        <w:overflowPunct/>
        <w:topLinePunct w:val="0"/>
        <w:bidi w:val="0"/>
        <w:spacing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供应商名称（公章）：</w:t>
      </w:r>
      <w:r>
        <w:rPr>
          <w:rFonts w:hint="eastAsia" w:ascii="Times New Roman" w:hAnsi="Times New Roman" w:eastAsia="宋体"/>
          <w:color w:val="auto"/>
          <w:sz w:val="21"/>
          <w:szCs w:val="21"/>
          <w:u w:val="single"/>
        </w:rPr>
        <w:t xml:space="preserve">                   </w:t>
      </w:r>
      <w:r>
        <w:rPr>
          <w:rFonts w:hint="eastAsia" w:ascii="Times New Roman" w:hAnsi="Times New Roman" w:eastAsia="宋体"/>
          <w:color w:val="auto"/>
          <w:sz w:val="21"/>
          <w:szCs w:val="21"/>
        </w:rPr>
        <w:t xml:space="preserve">    项目编号：</w:t>
      </w:r>
      <w:r>
        <w:rPr>
          <w:rFonts w:hint="eastAsia" w:ascii="Times New Roman" w:hAnsi="Times New Roman" w:eastAsia="宋体"/>
          <w:color w:val="auto"/>
          <w:sz w:val="21"/>
          <w:szCs w:val="21"/>
          <w:u w:val="single"/>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09"/>
        <w:gridCol w:w="1534"/>
        <w:gridCol w:w="1319"/>
        <w:gridCol w:w="1319"/>
        <w:gridCol w:w="1130"/>
        <w:gridCol w:w="1206"/>
      </w:tblGrid>
      <w:tr w14:paraId="24548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2" w:hRule="atLeast"/>
          <w:jc w:val="center"/>
        </w:trPr>
        <w:tc>
          <w:tcPr>
            <w:tcW w:w="809" w:type="dxa"/>
            <w:noWrap w:val="0"/>
            <w:tcMar>
              <w:top w:w="15" w:type="dxa"/>
              <w:left w:w="15" w:type="dxa"/>
              <w:bottom w:w="0" w:type="dxa"/>
              <w:right w:w="15" w:type="dxa"/>
            </w:tcMar>
            <w:vAlign w:val="center"/>
          </w:tcPr>
          <w:p w14:paraId="4F66B560">
            <w:pPr>
              <w:pageBreakBefore w:val="0"/>
              <w:kinsoku/>
              <w:overflowPunct/>
              <w:topLinePunct w:val="0"/>
              <w:bidi w:val="0"/>
              <w:spacing w:line="360" w:lineRule="auto"/>
              <w:jc w:val="center"/>
              <w:rPr>
                <w:rFonts w:ascii="Times New Roman" w:hAnsi="Times New Roman" w:eastAsia="宋体"/>
                <w:bCs/>
                <w:color w:val="auto"/>
                <w:sz w:val="21"/>
                <w:szCs w:val="21"/>
              </w:rPr>
            </w:pPr>
            <w:r>
              <w:rPr>
                <w:rFonts w:hint="eastAsia" w:ascii="Times New Roman" w:hAnsi="Times New Roman" w:eastAsia="宋体"/>
                <w:bCs/>
                <w:color w:val="auto"/>
                <w:sz w:val="21"/>
                <w:szCs w:val="21"/>
              </w:rPr>
              <w:t>序号</w:t>
            </w:r>
          </w:p>
        </w:tc>
        <w:tc>
          <w:tcPr>
            <w:tcW w:w="1534" w:type="dxa"/>
            <w:noWrap w:val="0"/>
            <w:tcMar>
              <w:top w:w="15" w:type="dxa"/>
              <w:left w:w="15" w:type="dxa"/>
              <w:bottom w:w="0" w:type="dxa"/>
              <w:right w:w="15" w:type="dxa"/>
            </w:tcMar>
            <w:vAlign w:val="center"/>
          </w:tcPr>
          <w:p w14:paraId="6FC36E8B">
            <w:pPr>
              <w:pageBreakBefore w:val="0"/>
              <w:kinsoku/>
              <w:overflowPunct/>
              <w:topLinePunct w:val="0"/>
              <w:bidi w:val="0"/>
              <w:spacing w:line="360" w:lineRule="auto"/>
              <w:jc w:val="center"/>
              <w:rPr>
                <w:rFonts w:ascii="Times New Roman" w:hAnsi="Times New Roman" w:eastAsia="宋体"/>
                <w:bCs/>
                <w:color w:val="auto"/>
                <w:sz w:val="21"/>
                <w:szCs w:val="21"/>
              </w:rPr>
            </w:pPr>
            <w:r>
              <w:rPr>
                <w:rFonts w:hint="eastAsia" w:ascii="Times New Roman" w:hAnsi="Times New Roman" w:eastAsia="宋体"/>
                <w:bCs/>
                <w:color w:val="auto"/>
                <w:sz w:val="21"/>
                <w:szCs w:val="21"/>
              </w:rPr>
              <w:t>名  称</w:t>
            </w:r>
          </w:p>
        </w:tc>
        <w:tc>
          <w:tcPr>
            <w:tcW w:w="1319" w:type="dxa"/>
            <w:noWrap w:val="0"/>
            <w:vAlign w:val="center"/>
          </w:tcPr>
          <w:p w14:paraId="27BE5CAB">
            <w:pPr>
              <w:pageBreakBefore w:val="0"/>
              <w:kinsoku/>
              <w:overflowPunct/>
              <w:topLinePunct w:val="0"/>
              <w:bidi w:val="0"/>
              <w:spacing w:line="360" w:lineRule="auto"/>
              <w:jc w:val="center"/>
              <w:rPr>
                <w:rFonts w:ascii="Times New Roman" w:hAnsi="Times New Roman" w:eastAsia="宋体"/>
                <w:bCs/>
                <w:color w:val="auto"/>
                <w:sz w:val="21"/>
                <w:szCs w:val="21"/>
              </w:rPr>
            </w:pPr>
            <w:r>
              <w:rPr>
                <w:rFonts w:hint="eastAsia" w:ascii="Times New Roman" w:hAnsi="Times New Roman" w:eastAsia="宋体"/>
                <w:bCs/>
                <w:color w:val="auto"/>
                <w:sz w:val="21"/>
                <w:szCs w:val="21"/>
              </w:rPr>
              <w:t>磋商要求</w:t>
            </w:r>
          </w:p>
        </w:tc>
        <w:tc>
          <w:tcPr>
            <w:tcW w:w="1319" w:type="dxa"/>
            <w:noWrap w:val="0"/>
            <w:vAlign w:val="center"/>
          </w:tcPr>
          <w:p w14:paraId="56551D06">
            <w:pPr>
              <w:pageBreakBefore w:val="0"/>
              <w:kinsoku/>
              <w:overflowPunct/>
              <w:topLinePunct w:val="0"/>
              <w:bidi w:val="0"/>
              <w:spacing w:line="360" w:lineRule="auto"/>
              <w:jc w:val="center"/>
              <w:rPr>
                <w:rFonts w:ascii="Times New Roman" w:hAnsi="Times New Roman" w:eastAsia="宋体"/>
                <w:bCs/>
                <w:color w:val="auto"/>
                <w:sz w:val="21"/>
                <w:szCs w:val="21"/>
              </w:rPr>
            </w:pPr>
            <w:r>
              <w:rPr>
                <w:rFonts w:hint="eastAsia" w:ascii="Times New Roman" w:hAnsi="Times New Roman" w:eastAsia="宋体"/>
                <w:bCs/>
                <w:color w:val="auto"/>
                <w:sz w:val="21"/>
                <w:szCs w:val="21"/>
              </w:rPr>
              <w:t>响应承诺</w:t>
            </w:r>
          </w:p>
        </w:tc>
        <w:tc>
          <w:tcPr>
            <w:tcW w:w="1130" w:type="dxa"/>
            <w:noWrap w:val="0"/>
            <w:tcMar>
              <w:top w:w="15" w:type="dxa"/>
              <w:left w:w="15" w:type="dxa"/>
              <w:bottom w:w="0" w:type="dxa"/>
              <w:right w:w="15" w:type="dxa"/>
            </w:tcMar>
            <w:vAlign w:val="center"/>
          </w:tcPr>
          <w:p w14:paraId="5DAF3632">
            <w:pPr>
              <w:pageBreakBefore w:val="0"/>
              <w:kinsoku/>
              <w:overflowPunct/>
              <w:topLinePunct w:val="0"/>
              <w:bidi w:val="0"/>
              <w:spacing w:line="360" w:lineRule="auto"/>
              <w:jc w:val="center"/>
              <w:rPr>
                <w:rFonts w:ascii="Times New Roman" w:hAnsi="Times New Roman" w:eastAsia="宋体"/>
                <w:bCs/>
                <w:color w:val="auto"/>
                <w:sz w:val="21"/>
                <w:szCs w:val="21"/>
              </w:rPr>
            </w:pPr>
            <w:r>
              <w:rPr>
                <w:rFonts w:hint="eastAsia" w:ascii="Times New Roman" w:hAnsi="Times New Roman" w:eastAsia="宋体"/>
                <w:bCs/>
                <w:color w:val="auto"/>
                <w:sz w:val="21"/>
                <w:szCs w:val="21"/>
              </w:rPr>
              <w:t>偏离</w:t>
            </w:r>
          </w:p>
        </w:tc>
        <w:tc>
          <w:tcPr>
            <w:tcW w:w="1206" w:type="dxa"/>
            <w:noWrap w:val="0"/>
            <w:vAlign w:val="center"/>
          </w:tcPr>
          <w:p w14:paraId="7AE3288B">
            <w:pPr>
              <w:pageBreakBefore w:val="0"/>
              <w:kinsoku/>
              <w:overflowPunct/>
              <w:topLinePunct w:val="0"/>
              <w:bidi w:val="0"/>
              <w:spacing w:line="360" w:lineRule="auto"/>
              <w:jc w:val="center"/>
              <w:rPr>
                <w:rFonts w:ascii="Times New Roman" w:hAnsi="Times New Roman" w:eastAsia="宋体"/>
                <w:bCs/>
                <w:color w:val="auto"/>
                <w:sz w:val="21"/>
                <w:szCs w:val="21"/>
              </w:rPr>
            </w:pPr>
            <w:r>
              <w:rPr>
                <w:rFonts w:hint="eastAsia" w:ascii="Times New Roman" w:hAnsi="Times New Roman" w:eastAsia="宋体"/>
                <w:bCs/>
                <w:color w:val="auto"/>
                <w:sz w:val="21"/>
                <w:szCs w:val="21"/>
              </w:rPr>
              <w:t>说  明</w:t>
            </w:r>
          </w:p>
        </w:tc>
      </w:tr>
      <w:tr w14:paraId="4A10B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2" w:hRule="atLeast"/>
          <w:jc w:val="center"/>
        </w:trPr>
        <w:tc>
          <w:tcPr>
            <w:tcW w:w="809" w:type="dxa"/>
            <w:noWrap w:val="0"/>
            <w:tcMar>
              <w:top w:w="15" w:type="dxa"/>
              <w:left w:w="15" w:type="dxa"/>
              <w:bottom w:w="0" w:type="dxa"/>
              <w:right w:w="15" w:type="dxa"/>
            </w:tcMar>
            <w:vAlign w:val="center"/>
          </w:tcPr>
          <w:p w14:paraId="7427F413">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534" w:type="dxa"/>
            <w:noWrap w:val="0"/>
            <w:tcMar>
              <w:top w:w="15" w:type="dxa"/>
              <w:left w:w="15" w:type="dxa"/>
              <w:bottom w:w="0" w:type="dxa"/>
              <w:right w:w="15" w:type="dxa"/>
            </w:tcMar>
            <w:vAlign w:val="center"/>
          </w:tcPr>
          <w:p w14:paraId="5DDA4B64">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319" w:type="dxa"/>
            <w:noWrap w:val="0"/>
            <w:vAlign w:val="center"/>
          </w:tcPr>
          <w:p w14:paraId="2CE34030">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319" w:type="dxa"/>
            <w:noWrap w:val="0"/>
            <w:vAlign w:val="center"/>
          </w:tcPr>
          <w:p w14:paraId="16C09B25">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130" w:type="dxa"/>
            <w:noWrap w:val="0"/>
            <w:tcMar>
              <w:top w:w="15" w:type="dxa"/>
              <w:left w:w="15" w:type="dxa"/>
              <w:bottom w:w="0" w:type="dxa"/>
              <w:right w:w="15" w:type="dxa"/>
            </w:tcMar>
            <w:vAlign w:val="center"/>
          </w:tcPr>
          <w:p w14:paraId="2AD6E2CF">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206" w:type="dxa"/>
            <w:noWrap w:val="0"/>
            <w:vAlign w:val="center"/>
          </w:tcPr>
          <w:p w14:paraId="24A21F95">
            <w:pPr>
              <w:pageBreakBefore w:val="0"/>
              <w:kinsoku/>
              <w:overflowPunct/>
              <w:topLinePunct w:val="0"/>
              <w:bidi w:val="0"/>
              <w:spacing w:line="360" w:lineRule="auto"/>
              <w:jc w:val="center"/>
              <w:rPr>
                <w:rFonts w:ascii="Times New Roman" w:hAnsi="Times New Roman" w:eastAsia="宋体"/>
                <w:bCs/>
                <w:color w:val="auto"/>
                <w:sz w:val="21"/>
                <w:szCs w:val="21"/>
              </w:rPr>
            </w:pPr>
          </w:p>
        </w:tc>
      </w:tr>
      <w:tr w14:paraId="51A41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2" w:hRule="atLeast"/>
          <w:jc w:val="center"/>
        </w:trPr>
        <w:tc>
          <w:tcPr>
            <w:tcW w:w="809" w:type="dxa"/>
            <w:noWrap w:val="0"/>
            <w:tcMar>
              <w:top w:w="15" w:type="dxa"/>
              <w:left w:w="15" w:type="dxa"/>
              <w:bottom w:w="0" w:type="dxa"/>
              <w:right w:w="15" w:type="dxa"/>
            </w:tcMar>
            <w:vAlign w:val="center"/>
          </w:tcPr>
          <w:p w14:paraId="09C6C714">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534" w:type="dxa"/>
            <w:noWrap w:val="0"/>
            <w:tcMar>
              <w:top w:w="15" w:type="dxa"/>
              <w:left w:w="15" w:type="dxa"/>
              <w:bottom w:w="0" w:type="dxa"/>
              <w:right w:w="15" w:type="dxa"/>
            </w:tcMar>
            <w:vAlign w:val="center"/>
          </w:tcPr>
          <w:p w14:paraId="037164D4">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319" w:type="dxa"/>
            <w:noWrap w:val="0"/>
            <w:vAlign w:val="center"/>
          </w:tcPr>
          <w:p w14:paraId="74B00CD8">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319" w:type="dxa"/>
            <w:noWrap w:val="0"/>
            <w:vAlign w:val="center"/>
          </w:tcPr>
          <w:p w14:paraId="398F5284">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130" w:type="dxa"/>
            <w:noWrap w:val="0"/>
            <w:tcMar>
              <w:top w:w="15" w:type="dxa"/>
              <w:left w:w="15" w:type="dxa"/>
              <w:bottom w:w="0" w:type="dxa"/>
              <w:right w:w="15" w:type="dxa"/>
            </w:tcMar>
            <w:vAlign w:val="center"/>
          </w:tcPr>
          <w:p w14:paraId="3A6A47B4">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206" w:type="dxa"/>
            <w:noWrap w:val="0"/>
            <w:vAlign w:val="center"/>
          </w:tcPr>
          <w:p w14:paraId="50568FB1">
            <w:pPr>
              <w:pageBreakBefore w:val="0"/>
              <w:kinsoku/>
              <w:overflowPunct/>
              <w:topLinePunct w:val="0"/>
              <w:bidi w:val="0"/>
              <w:spacing w:line="360" w:lineRule="auto"/>
              <w:jc w:val="center"/>
              <w:rPr>
                <w:rFonts w:ascii="Times New Roman" w:hAnsi="Times New Roman" w:eastAsia="宋体"/>
                <w:bCs/>
                <w:color w:val="auto"/>
                <w:sz w:val="21"/>
                <w:szCs w:val="21"/>
              </w:rPr>
            </w:pPr>
          </w:p>
        </w:tc>
      </w:tr>
      <w:tr w14:paraId="7029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5" w:hRule="atLeast"/>
          <w:jc w:val="center"/>
        </w:trPr>
        <w:tc>
          <w:tcPr>
            <w:tcW w:w="809" w:type="dxa"/>
            <w:noWrap w:val="0"/>
            <w:tcMar>
              <w:top w:w="15" w:type="dxa"/>
              <w:left w:w="15" w:type="dxa"/>
              <w:bottom w:w="0" w:type="dxa"/>
              <w:right w:w="15" w:type="dxa"/>
            </w:tcMar>
            <w:vAlign w:val="center"/>
          </w:tcPr>
          <w:p w14:paraId="55147665">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534" w:type="dxa"/>
            <w:noWrap w:val="0"/>
            <w:tcMar>
              <w:top w:w="15" w:type="dxa"/>
              <w:left w:w="15" w:type="dxa"/>
              <w:bottom w:w="0" w:type="dxa"/>
              <w:right w:w="15" w:type="dxa"/>
            </w:tcMar>
            <w:vAlign w:val="center"/>
          </w:tcPr>
          <w:p w14:paraId="08C93B08">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319" w:type="dxa"/>
            <w:noWrap w:val="0"/>
            <w:vAlign w:val="center"/>
          </w:tcPr>
          <w:p w14:paraId="68624BDE">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319" w:type="dxa"/>
            <w:noWrap w:val="0"/>
            <w:vAlign w:val="center"/>
          </w:tcPr>
          <w:p w14:paraId="02DDCF09">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130" w:type="dxa"/>
            <w:noWrap w:val="0"/>
            <w:tcMar>
              <w:top w:w="15" w:type="dxa"/>
              <w:left w:w="15" w:type="dxa"/>
              <w:bottom w:w="0" w:type="dxa"/>
              <w:right w:w="15" w:type="dxa"/>
            </w:tcMar>
            <w:vAlign w:val="center"/>
          </w:tcPr>
          <w:p w14:paraId="194EF0A7">
            <w:pPr>
              <w:pageBreakBefore w:val="0"/>
              <w:kinsoku/>
              <w:overflowPunct/>
              <w:topLinePunct w:val="0"/>
              <w:bidi w:val="0"/>
              <w:spacing w:line="360" w:lineRule="auto"/>
              <w:jc w:val="center"/>
              <w:rPr>
                <w:rFonts w:ascii="Times New Roman" w:hAnsi="Times New Roman" w:eastAsia="宋体"/>
                <w:bCs/>
                <w:color w:val="auto"/>
                <w:sz w:val="21"/>
                <w:szCs w:val="21"/>
              </w:rPr>
            </w:pPr>
          </w:p>
        </w:tc>
        <w:tc>
          <w:tcPr>
            <w:tcW w:w="1206" w:type="dxa"/>
            <w:noWrap w:val="0"/>
            <w:vAlign w:val="center"/>
          </w:tcPr>
          <w:p w14:paraId="074E9334">
            <w:pPr>
              <w:pageBreakBefore w:val="0"/>
              <w:kinsoku/>
              <w:overflowPunct/>
              <w:topLinePunct w:val="0"/>
              <w:bidi w:val="0"/>
              <w:spacing w:line="360" w:lineRule="auto"/>
              <w:jc w:val="center"/>
              <w:rPr>
                <w:rFonts w:ascii="Times New Roman" w:hAnsi="Times New Roman" w:eastAsia="宋体"/>
                <w:bCs/>
                <w:color w:val="auto"/>
                <w:sz w:val="21"/>
                <w:szCs w:val="21"/>
              </w:rPr>
            </w:pPr>
          </w:p>
        </w:tc>
      </w:tr>
    </w:tbl>
    <w:p w14:paraId="2139558F">
      <w:pPr>
        <w:pageBreakBefore w:val="0"/>
        <w:kinsoku/>
        <w:overflowPunct/>
        <w:topLinePunct w:val="0"/>
        <w:bidi w:val="0"/>
        <w:spacing w:line="360" w:lineRule="auto"/>
        <w:rPr>
          <w:rFonts w:hint="eastAsia" w:ascii="Times New Roman" w:hAnsi="Times New Roman" w:eastAsia="宋体"/>
          <w:color w:val="auto"/>
          <w:sz w:val="21"/>
          <w:szCs w:val="21"/>
        </w:rPr>
      </w:pPr>
    </w:p>
    <w:p w14:paraId="0E45B567">
      <w:pPr>
        <w:pStyle w:val="63"/>
        <w:pageBreakBefore w:val="0"/>
        <w:kinsoku/>
        <w:overflowPunct/>
        <w:topLinePunct w:val="0"/>
        <w:bidi w:val="0"/>
        <w:spacing w:line="360" w:lineRule="auto"/>
        <w:ind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 xml:space="preserve">法定代表人或授权代表（签字）：  </w:t>
      </w:r>
    </w:p>
    <w:p w14:paraId="39F1D5B8">
      <w:pPr>
        <w:pStyle w:val="14"/>
        <w:pageBreakBefore w:val="0"/>
        <w:kinsoku/>
        <w:overflowPunct/>
        <w:topLinePunct w:val="0"/>
        <w:bidi w:val="0"/>
        <w:spacing w:line="360" w:lineRule="auto"/>
        <w:rPr>
          <w:rFonts w:hint="eastAsia" w:ascii="Times New Roman" w:hAnsi="Times New Roman" w:eastAsia="宋体"/>
          <w:color w:val="auto"/>
          <w:sz w:val="21"/>
          <w:szCs w:val="21"/>
        </w:rPr>
      </w:pPr>
      <w:r>
        <w:rPr>
          <w:rFonts w:hint="eastAsia" w:ascii="Times New Roman" w:hAnsi="Times New Roman" w:eastAsia="宋体"/>
          <w:color w:val="auto"/>
          <w:sz w:val="21"/>
          <w:szCs w:val="21"/>
        </w:rPr>
        <w:t>注：供应商应按照磋商文件中要求的技术参数与性能指标逐项、详细、真实的填写。行数不够可以添加，有具体参数的应填写详细参数，否则该响应文件可能被拒绝。</w:t>
      </w:r>
    </w:p>
    <w:p w14:paraId="708BAADD">
      <w:pPr>
        <w:pStyle w:val="11"/>
        <w:rPr>
          <w:rFonts w:hint="eastAsia" w:ascii="宋体" w:hAnsi="宋体"/>
          <w:i/>
          <w:szCs w:val="21"/>
        </w:rPr>
      </w:pPr>
    </w:p>
    <w:p w14:paraId="34C84DDC">
      <w:pPr>
        <w:pStyle w:val="11"/>
        <w:rPr>
          <w:rFonts w:hint="eastAsia" w:ascii="宋体" w:hAnsi="宋体"/>
          <w:i/>
          <w:szCs w:val="21"/>
        </w:rPr>
      </w:pPr>
    </w:p>
    <w:p w14:paraId="4DF377A9">
      <w:pPr>
        <w:pStyle w:val="11"/>
        <w:rPr>
          <w:rFonts w:hint="eastAsia" w:ascii="宋体" w:hAnsi="宋体"/>
          <w:i/>
          <w:szCs w:val="21"/>
        </w:rPr>
      </w:pPr>
    </w:p>
    <w:p w14:paraId="3DED24D1">
      <w:pPr>
        <w:spacing w:line="360" w:lineRule="auto"/>
        <w:outlineLvl w:val="0"/>
        <w:rPr>
          <w:rFonts w:hint="eastAsia" w:eastAsia="宋体"/>
          <w:b/>
          <w:bCs/>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宋体_GB2312">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A460">
    <w:pPr>
      <w:pStyle w:val="17"/>
      <w:jc w:val="center"/>
      <w:rPr>
        <w:rFonts w:ascii="宋体_GB2312" w:hAnsi="宋体_GB2312" w:eastAsia="宋体_GB2312"/>
      </w:rP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- 36 -</w:t>
    </w:r>
    <w:r>
      <w:rPr>
        <w:rFonts w:ascii="宋体_GB2312" w:hAnsi="宋体_GB2312" w:eastAsia="宋体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7BFC">
    <w:pPr>
      <w:pStyle w:val="19"/>
      <w:pBdr>
        <w:bottom w:val="single" w:color="auto" w:sz="4" w:space="1"/>
      </w:pBdr>
      <w:jc w:val="both"/>
      <w:rPr>
        <w:rFonts w:hint="default" w:eastAsia="微软雅黑"/>
        <w:lang w:val="en-US" w:eastAsia="zh-CN"/>
      </w:rPr>
    </w:pPr>
    <w:r>
      <w:rPr>
        <w:rFonts w:hint="eastAsia" w:ascii="微软雅黑" w:hAnsi="微软雅黑" w:eastAsia="微软雅黑" w:cs="微软雅黑"/>
        <w:sz w:val="16"/>
        <w:szCs w:val="16"/>
        <w:shd w:val="clear" w:color="auto" w:fill="FFFFFF"/>
        <w:lang w:val="en-US" w:eastAsia="zh-CN"/>
      </w:rPr>
      <w:t>YZCDC20250701</w:t>
    </w:r>
    <w:r>
      <w:rPr>
        <w:rFonts w:hint="eastAsia" w:ascii="微软雅黑" w:hAnsi="微软雅黑" w:eastAsia="微软雅黑" w:cs="微软雅黑"/>
        <w:sz w:val="16"/>
        <w:szCs w:val="16"/>
        <w:shd w:val="clear" w:color="auto" w:fill="FFFFFF"/>
      </w:rPr>
      <w:t xml:space="preserve">                      </w:t>
    </w:r>
    <w:r>
      <w:rPr>
        <w:rFonts w:hint="eastAsia" w:ascii="微软雅黑" w:hAnsi="微软雅黑" w:eastAsia="微软雅黑" w:cs="微软雅黑"/>
        <w:sz w:val="16"/>
        <w:szCs w:val="16"/>
        <w:shd w:val="clear" w:color="auto" w:fill="FFFFFF"/>
        <w:lang w:val="en-US" w:eastAsia="zh-CN"/>
      </w:rPr>
      <w:t xml:space="preserve"> </w:t>
    </w:r>
    <w:r>
      <w:rPr>
        <w:rFonts w:hint="eastAsia" w:ascii="微软雅黑" w:hAnsi="微软雅黑" w:eastAsia="微软雅黑" w:cs="微软雅黑"/>
        <w:sz w:val="16"/>
        <w:szCs w:val="16"/>
        <w:shd w:val="clear" w:color="auto" w:fill="FFFFFF"/>
      </w:rPr>
      <w:t xml:space="preserve">        </w:t>
    </w:r>
    <w:r>
      <w:rPr>
        <w:rFonts w:hint="eastAsia" w:ascii="微软雅黑" w:hAnsi="微软雅黑" w:eastAsia="微软雅黑" w:cs="微软雅黑"/>
        <w:sz w:val="16"/>
        <w:szCs w:val="16"/>
        <w:shd w:val="clear" w:color="auto" w:fill="FFFFFF"/>
        <w:lang w:val="en-US" w:eastAsia="zh-CN"/>
      </w:rPr>
      <w:t xml:space="preserve">                                  扬州市疾病预防控制中心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5DFFB8"/>
    <w:multiLevelType w:val="singleLevel"/>
    <w:tmpl w:val="355DFFB8"/>
    <w:lvl w:ilvl="0" w:tentative="0">
      <w:start w:val="1"/>
      <w:numFmt w:val="decimal"/>
      <w:lvlText w:val="%1."/>
      <w:lvlJc w:val="left"/>
      <w:pPr>
        <w:tabs>
          <w:tab w:val="left" w:pos="312"/>
        </w:tabs>
      </w:pPr>
    </w:lvl>
  </w:abstractNum>
  <w:abstractNum w:abstractNumId="2">
    <w:nsid w:val="5A4CB95F"/>
    <w:multiLevelType w:val="singleLevel"/>
    <w:tmpl w:val="5A4CB95F"/>
    <w:lvl w:ilvl="0" w:tentative="0">
      <w:start w:val="5"/>
      <w:numFmt w:val="chineseCounting"/>
      <w:suff w:val="space"/>
      <w:lvlText w:val="第%1章"/>
      <w:lvlJc w:val="left"/>
      <w:rPr>
        <w:rFonts w:cs="Times New Roman"/>
      </w:rPr>
    </w:lvl>
  </w:abstractNum>
  <w:abstractNum w:abstractNumId="3">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OGNjOWMyZTYwZmY3NzQ1Mjk4NjY2ZTI3ZmJjYTQifQ=="/>
  </w:docVars>
  <w:rsids>
    <w:rsidRoot w:val="008E00D9"/>
    <w:rsid w:val="00002255"/>
    <w:rsid w:val="00003465"/>
    <w:rsid w:val="00006812"/>
    <w:rsid w:val="00067821"/>
    <w:rsid w:val="00094A3B"/>
    <w:rsid w:val="00094ECA"/>
    <w:rsid w:val="000A0694"/>
    <w:rsid w:val="000C25BD"/>
    <w:rsid w:val="000E14BE"/>
    <w:rsid w:val="000F4DFE"/>
    <w:rsid w:val="000F612F"/>
    <w:rsid w:val="00113131"/>
    <w:rsid w:val="001214AA"/>
    <w:rsid w:val="00133196"/>
    <w:rsid w:val="001443CF"/>
    <w:rsid w:val="00172ED9"/>
    <w:rsid w:val="001C7EDE"/>
    <w:rsid w:val="00211B7C"/>
    <w:rsid w:val="002430A4"/>
    <w:rsid w:val="002578E9"/>
    <w:rsid w:val="0028704A"/>
    <w:rsid w:val="002969CE"/>
    <w:rsid w:val="002C46B1"/>
    <w:rsid w:val="00340AD5"/>
    <w:rsid w:val="00354F6D"/>
    <w:rsid w:val="00356F59"/>
    <w:rsid w:val="0038658C"/>
    <w:rsid w:val="00396FBA"/>
    <w:rsid w:val="003A48EE"/>
    <w:rsid w:val="003A6BFF"/>
    <w:rsid w:val="003D0A85"/>
    <w:rsid w:val="00426F45"/>
    <w:rsid w:val="0046116C"/>
    <w:rsid w:val="004D6D08"/>
    <w:rsid w:val="00515A5E"/>
    <w:rsid w:val="005310FF"/>
    <w:rsid w:val="00560C01"/>
    <w:rsid w:val="0056334A"/>
    <w:rsid w:val="005743D5"/>
    <w:rsid w:val="00591D21"/>
    <w:rsid w:val="005A7EB6"/>
    <w:rsid w:val="005D40D8"/>
    <w:rsid w:val="005F604D"/>
    <w:rsid w:val="006050DD"/>
    <w:rsid w:val="0060531D"/>
    <w:rsid w:val="00645174"/>
    <w:rsid w:val="006D35EA"/>
    <w:rsid w:val="007020FF"/>
    <w:rsid w:val="007041C1"/>
    <w:rsid w:val="00705CE0"/>
    <w:rsid w:val="00751168"/>
    <w:rsid w:val="00753B11"/>
    <w:rsid w:val="0075732A"/>
    <w:rsid w:val="00761419"/>
    <w:rsid w:val="007A4A24"/>
    <w:rsid w:val="007B2AE9"/>
    <w:rsid w:val="007C454A"/>
    <w:rsid w:val="008513EB"/>
    <w:rsid w:val="00871240"/>
    <w:rsid w:val="00884C4E"/>
    <w:rsid w:val="008A044C"/>
    <w:rsid w:val="008A089C"/>
    <w:rsid w:val="008B3680"/>
    <w:rsid w:val="008E00D9"/>
    <w:rsid w:val="008F1EA9"/>
    <w:rsid w:val="008F3557"/>
    <w:rsid w:val="00947438"/>
    <w:rsid w:val="009512B4"/>
    <w:rsid w:val="0096586B"/>
    <w:rsid w:val="009676EE"/>
    <w:rsid w:val="009A0B4C"/>
    <w:rsid w:val="009B74EC"/>
    <w:rsid w:val="009C6C3A"/>
    <w:rsid w:val="009E6202"/>
    <w:rsid w:val="00A32FAF"/>
    <w:rsid w:val="00A37285"/>
    <w:rsid w:val="00A94E01"/>
    <w:rsid w:val="00A96B40"/>
    <w:rsid w:val="00AA7B69"/>
    <w:rsid w:val="00AB19C1"/>
    <w:rsid w:val="00AB2759"/>
    <w:rsid w:val="00AD741E"/>
    <w:rsid w:val="00AF5B28"/>
    <w:rsid w:val="00B14AFC"/>
    <w:rsid w:val="00BA0061"/>
    <w:rsid w:val="00BA18BC"/>
    <w:rsid w:val="00BA3414"/>
    <w:rsid w:val="00BA4F36"/>
    <w:rsid w:val="00BF418F"/>
    <w:rsid w:val="00C223C6"/>
    <w:rsid w:val="00C75AE2"/>
    <w:rsid w:val="00C9778D"/>
    <w:rsid w:val="00CA1CAE"/>
    <w:rsid w:val="00D06497"/>
    <w:rsid w:val="00D15E7B"/>
    <w:rsid w:val="00D17185"/>
    <w:rsid w:val="00D2099A"/>
    <w:rsid w:val="00D76E41"/>
    <w:rsid w:val="00D876F9"/>
    <w:rsid w:val="00DD2DD3"/>
    <w:rsid w:val="00E15990"/>
    <w:rsid w:val="00E41C4C"/>
    <w:rsid w:val="00E50216"/>
    <w:rsid w:val="00E67C47"/>
    <w:rsid w:val="00E86FA4"/>
    <w:rsid w:val="00EA7496"/>
    <w:rsid w:val="00EA7C2F"/>
    <w:rsid w:val="00EE47B6"/>
    <w:rsid w:val="00F13D36"/>
    <w:rsid w:val="00F51067"/>
    <w:rsid w:val="00F63749"/>
    <w:rsid w:val="00F6547F"/>
    <w:rsid w:val="00F83CBA"/>
    <w:rsid w:val="00FC7C69"/>
    <w:rsid w:val="00FD6206"/>
    <w:rsid w:val="01037055"/>
    <w:rsid w:val="010A68BF"/>
    <w:rsid w:val="011C7537"/>
    <w:rsid w:val="012415D4"/>
    <w:rsid w:val="01243D91"/>
    <w:rsid w:val="01341807"/>
    <w:rsid w:val="013668BF"/>
    <w:rsid w:val="0141073B"/>
    <w:rsid w:val="014433B5"/>
    <w:rsid w:val="015D190C"/>
    <w:rsid w:val="01601BBF"/>
    <w:rsid w:val="0160647F"/>
    <w:rsid w:val="016C3A50"/>
    <w:rsid w:val="01783030"/>
    <w:rsid w:val="01836A69"/>
    <w:rsid w:val="018C100A"/>
    <w:rsid w:val="019D2772"/>
    <w:rsid w:val="019F1CBD"/>
    <w:rsid w:val="01A70F2D"/>
    <w:rsid w:val="01AC20FC"/>
    <w:rsid w:val="01AE19C3"/>
    <w:rsid w:val="01C66CD6"/>
    <w:rsid w:val="01CE57B8"/>
    <w:rsid w:val="01D31325"/>
    <w:rsid w:val="01D57670"/>
    <w:rsid w:val="01DC51DA"/>
    <w:rsid w:val="01F13DE4"/>
    <w:rsid w:val="01FE1C5A"/>
    <w:rsid w:val="02010178"/>
    <w:rsid w:val="02076B0C"/>
    <w:rsid w:val="020B2D2B"/>
    <w:rsid w:val="021A2040"/>
    <w:rsid w:val="021B3E41"/>
    <w:rsid w:val="021D607D"/>
    <w:rsid w:val="02235758"/>
    <w:rsid w:val="022B2541"/>
    <w:rsid w:val="02330094"/>
    <w:rsid w:val="023E4CD7"/>
    <w:rsid w:val="024552B0"/>
    <w:rsid w:val="024E07CD"/>
    <w:rsid w:val="025C3F9A"/>
    <w:rsid w:val="025E2844"/>
    <w:rsid w:val="026A55CD"/>
    <w:rsid w:val="027B1D7C"/>
    <w:rsid w:val="027F6D80"/>
    <w:rsid w:val="029861A7"/>
    <w:rsid w:val="02A95A93"/>
    <w:rsid w:val="02BA39CC"/>
    <w:rsid w:val="02BB1899"/>
    <w:rsid w:val="02BE50DD"/>
    <w:rsid w:val="02C37B33"/>
    <w:rsid w:val="02CA1C7C"/>
    <w:rsid w:val="02EA220D"/>
    <w:rsid w:val="030926B9"/>
    <w:rsid w:val="03152C56"/>
    <w:rsid w:val="03203682"/>
    <w:rsid w:val="032543B9"/>
    <w:rsid w:val="0334454E"/>
    <w:rsid w:val="034168FF"/>
    <w:rsid w:val="03671820"/>
    <w:rsid w:val="0368779D"/>
    <w:rsid w:val="03785A2D"/>
    <w:rsid w:val="037E0688"/>
    <w:rsid w:val="03A0162C"/>
    <w:rsid w:val="03A05A57"/>
    <w:rsid w:val="03BD0642"/>
    <w:rsid w:val="03C3692F"/>
    <w:rsid w:val="03DF4ABC"/>
    <w:rsid w:val="03E5266E"/>
    <w:rsid w:val="03F254AA"/>
    <w:rsid w:val="03F826B7"/>
    <w:rsid w:val="040F3889"/>
    <w:rsid w:val="0418051B"/>
    <w:rsid w:val="04335398"/>
    <w:rsid w:val="04347D76"/>
    <w:rsid w:val="04360766"/>
    <w:rsid w:val="0444569E"/>
    <w:rsid w:val="044A43E3"/>
    <w:rsid w:val="0473579E"/>
    <w:rsid w:val="0487054A"/>
    <w:rsid w:val="049409CA"/>
    <w:rsid w:val="049601CD"/>
    <w:rsid w:val="04A42695"/>
    <w:rsid w:val="04AA26E2"/>
    <w:rsid w:val="04C646A6"/>
    <w:rsid w:val="04D54C1A"/>
    <w:rsid w:val="04ED03E4"/>
    <w:rsid w:val="04FE295F"/>
    <w:rsid w:val="05005EB8"/>
    <w:rsid w:val="050E3E80"/>
    <w:rsid w:val="0510675D"/>
    <w:rsid w:val="051B1CFB"/>
    <w:rsid w:val="052321E1"/>
    <w:rsid w:val="052B61A3"/>
    <w:rsid w:val="053A5F69"/>
    <w:rsid w:val="053E7324"/>
    <w:rsid w:val="054367DA"/>
    <w:rsid w:val="055219C7"/>
    <w:rsid w:val="0559344B"/>
    <w:rsid w:val="055E27A3"/>
    <w:rsid w:val="05647105"/>
    <w:rsid w:val="05685C13"/>
    <w:rsid w:val="056E5276"/>
    <w:rsid w:val="05855710"/>
    <w:rsid w:val="058B4423"/>
    <w:rsid w:val="058F60AD"/>
    <w:rsid w:val="05B3561C"/>
    <w:rsid w:val="05B50014"/>
    <w:rsid w:val="05C432C0"/>
    <w:rsid w:val="05C944A4"/>
    <w:rsid w:val="05F72BBC"/>
    <w:rsid w:val="060274EF"/>
    <w:rsid w:val="06061E4B"/>
    <w:rsid w:val="062064F8"/>
    <w:rsid w:val="06210C43"/>
    <w:rsid w:val="0622323A"/>
    <w:rsid w:val="062532CF"/>
    <w:rsid w:val="062A0560"/>
    <w:rsid w:val="062E4A77"/>
    <w:rsid w:val="062F5D8D"/>
    <w:rsid w:val="0631092B"/>
    <w:rsid w:val="063333B5"/>
    <w:rsid w:val="06437A8B"/>
    <w:rsid w:val="064F385B"/>
    <w:rsid w:val="06537B05"/>
    <w:rsid w:val="065C6583"/>
    <w:rsid w:val="06742FE1"/>
    <w:rsid w:val="067A4D20"/>
    <w:rsid w:val="068504CF"/>
    <w:rsid w:val="068841C8"/>
    <w:rsid w:val="068E5272"/>
    <w:rsid w:val="06982658"/>
    <w:rsid w:val="069B08FF"/>
    <w:rsid w:val="06AA7BB6"/>
    <w:rsid w:val="06B66892"/>
    <w:rsid w:val="06D17078"/>
    <w:rsid w:val="06E11A40"/>
    <w:rsid w:val="06E129D6"/>
    <w:rsid w:val="070045A5"/>
    <w:rsid w:val="070C54AB"/>
    <w:rsid w:val="0714281E"/>
    <w:rsid w:val="07162BEF"/>
    <w:rsid w:val="0717544D"/>
    <w:rsid w:val="07177939"/>
    <w:rsid w:val="071C36B2"/>
    <w:rsid w:val="0720560A"/>
    <w:rsid w:val="072C072D"/>
    <w:rsid w:val="07342FB0"/>
    <w:rsid w:val="07463654"/>
    <w:rsid w:val="07523379"/>
    <w:rsid w:val="075A4B9E"/>
    <w:rsid w:val="077040DF"/>
    <w:rsid w:val="07893FCD"/>
    <w:rsid w:val="079504A9"/>
    <w:rsid w:val="07980770"/>
    <w:rsid w:val="079B2423"/>
    <w:rsid w:val="07A017DF"/>
    <w:rsid w:val="07B10D5E"/>
    <w:rsid w:val="07B60076"/>
    <w:rsid w:val="07BA1A1F"/>
    <w:rsid w:val="07BA5C33"/>
    <w:rsid w:val="07C10D9B"/>
    <w:rsid w:val="07CD1EFF"/>
    <w:rsid w:val="07D547D7"/>
    <w:rsid w:val="07DB7E9C"/>
    <w:rsid w:val="07DE72ED"/>
    <w:rsid w:val="07E973FF"/>
    <w:rsid w:val="07F36949"/>
    <w:rsid w:val="07FD44CE"/>
    <w:rsid w:val="07FD560A"/>
    <w:rsid w:val="08013826"/>
    <w:rsid w:val="0813441C"/>
    <w:rsid w:val="08320503"/>
    <w:rsid w:val="083F376D"/>
    <w:rsid w:val="084E09CE"/>
    <w:rsid w:val="085213E3"/>
    <w:rsid w:val="085E383A"/>
    <w:rsid w:val="085F520A"/>
    <w:rsid w:val="08604F06"/>
    <w:rsid w:val="08631320"/>
    <w:rsid w:val="08646E8C"/>
    <w:rsid w:val="086B3221"/>
    <w:rsid w:val="086C13E7"/>
    <w:rsid w:val="0887344D"/>
    <w:rsid w:val="088800FF"/>
    <w:rsid w:val="08966904"/>
    <w:rsid w:val="0897414B"/>
    <w:rsid w:val="08A01B99"/>
    <w:rsid w:val="08A41CE8"/>
    <w:rsid w:val="08B718D6"/>
    <w:rsid w:val="08BC0A60"/>
    <w:rsid w:val="08BD5611"/>
    <w:rsid w:val="08D15B8E"/>
    <w:rsid w:val="08D8104B"/>
    <w:rsid w:val="08DA16B7"/>
    <w:rsid w:val="08E02EF3"/>
    <w:rsid w:val="08E13055"/>
    <w:rsid w:val="08EB58B6"/>
    <w:rsid w:val="08F05839"/>
    <w:rsid w:val="08F41DB5"/>
    <w:rsid w:val="08F54E1F"/>
    <w:rsid w:val="090234C8"/>
    <w:rsid w:val="091C57E7"/>
    <w:rsid w:val="09233BD6"/>
    <w:rsid w:val="09270E52"/>
    <w:rsid w:val="09282933"/>
    <w:rsid w:val="093D45C9"/>
    <w:rsid w:val="093F4547"/>
    <w:rsid w:val="09410F65"/>
    <w:rsid w:val="09453C96"/>
    <w:rsid w:val="094E61F5"/>
    <w:rsid w:val="09722112"/>
    <w:rsid w:val="09963143"/>
    <w:rsid w:val="09A13143"/>
    <w:rsid w:val="09A32990"/>
    <w:rsid w:val="09AE1276"/>
    <w:rsid w:val="09B95340"/>
    <w:rsid w:val="09BF169E"/>
    <w:rsid w:val="09C22ABD"/>
    <w:rsid w:val="09CE337C"/>
    <w:rsid w:val="09DE50EC"/>
    <w:rsid w:val="09DF7A76"/>
    <w:rsid w:val="09E841C4"/>
    <w:rsid w:val="0A1566EF"/>
    <w:rsid w:val="0A1F3834"/>
    <w:rsid w:val="0A1F47BB"/>
    <w:rsid w:val="0A3373E9"/>
    <w:rsid w:val="0A361004"/>
    <w:rsid w:val="0A363342"/>
    <w:rsid w:val="0A3E56A7"/>
    <w:rsid w:val="0A4D2412"/>
    <w:rsid w:val="0A543DC2"/>
    <w:rsid w:val="0A5D7966"/>
    <w:rsid w:val="0A72032C"/>
    <w:rsid w:val="0A7B1C62"/>
    <w:rsid w:val="0A7D421F"/>
    <w:rsid w:val="0A84578D"/>
    <w:rsid w:val="0A8B024C"/>
    <w:rsid w:val="0A8C138B"/>
    <w:rsid w:val="0A8F0044"/>
    <w:rsid w:val="0A9F4178"/>
    <w:rsid w:val="0AAC2E8C"/>
    <w:rsid w:val="0ABC1E00"/>
    <w:rsid w:val="0AD41AEC"/>
    <w:rsid w:val="0AEC06CF"/>
    <w:rsid w:val="0AFA33FB"/>
    <w:rsid w:val="0AFD20DD"/>
    <w:rsid w:val="0B063F54"/>
    <w:rsid w:val="0B0E6C14"/>
    <w:rsid w:val="0B1B3EB6"/>
    <w:rsid w:val="0B233754"/>
    <w:rsid w:val="0B2562DA"/>
    <w:rsid w:val="0B281692"/>
    <w:rsid w:val="0B345F82"/>
    <w:rsid w:val="0B374830"/>
    <w:rsid w:val="0B3E57E9"/>
    <w:rsid w:val="0B562489"/>
    <w:rsid w:val="0B5811B0"/>
    <w:rsid w:val="0B5D71D5"/>
    <w:rsid w:val="0B624AF9"/>
    <w:rsid w:val="0B6F6259"/>
    <w:rsid w:val="0B8552BD"/>
    <w:rsid w:val="0B872D10"/>
    <w:rsid w:val="0B9E129E"/>
    <w:rsid w:val="0BA31198"/>
    <w:rsid w:val="0BA873CE"/>
    <w:rsid w:val="0BB849F2"/>
    <w:rsid w:val="0BBD2E8D"/>
    <w:rsid w:val="0BC003A4"/>
    <w:rsid w:val="0BC660A9"/>
    <w:rsid w:val="0BCF7A41"/>
    <w:rsid w:val="0BD75EFB"/>
    <w:rsid w:val="0BDA1174"/>
    <w:rsid w:val="0BE21687"/>
    <w:rsid w:val="0BF207F1"/>
    <w:rsid w:val="0C003F1E"/>
    <w:rsid w:val="0C005A7D"/>
    <w:rsid w:val="0C036A44"/>
    <w:rsid w:val="0C044764"/>
    <w:rsid w:val="0C0616D9"/>
    <w:rsid w:val="0C1363F4"/>
    <w:rsid w:val="0C144839"/>
    <w:rsid w:val="0C1F041D"/>
    <w:rsid w:val="0C1F789F"/>
    <w:rsid w:val="0C215816"/>
    <w:rsid w:val="0C2B1A17"/>
    <w:rsid w:val="0C2D15F3"/>
    <w:rsid w:val="0C371314"/>
    <w:rsid w:val="0C43450D"/>
    <w:rsid w:val="0C4D2229"/>
    <w:rsid w:val="0C602A60"/>
    <w:rsid w:val="0C663439"/>
    <w:rsid w:val="0C724725"/>
    <w:rsid w:val="0C797EAA"/>
    <w:rsid w:val="0C8276DD"/>
    <w:rsid w:val="0C875C3E"/>
    <w:rsid w:val="0C900719"/>
    <w:rsid w:val="0C934053"/>
    <w:rsid w:val="0C9A310F"/>
    <w:rsid w:val="0CA37994"/>
    <w:rsid w:val="0CA81750"/>
    <w:rsid w:val="0CB63EA5"/>
    <w:rsid w:val="0CC4588E"/>
    <w:rsid w:val="0CFA64F1"/>
    <w:rsid w:val="0D021CCD"/>
    <w:rsid w:val="0D02227B"/>
    <w:rsid w:val="0D415A8D"/>
    <w:rsid w:val="0D487751"/>
    <w:rsid w:val="0D524BA4"/>
    <w:rsid w:val="0D594A39"/>
    <w:rsid w:val="0D5B5742"/>
    <w:rsid w:val="0D86280B"/>
    <w:rsid w:val="0D8D1104"/>
    <w:rsid w:val="0D953469"/>
    <w:rsid w:val="0D9E57DA"/>
    <w:rsid w:val="0DA52B2F"/>
    <w:rsid w:val="0DCE0762"/>
    <w:rsid w:val="0DD24817"/>
    <w:rsid w:val="0DD32D1B"/>
    <w:rsid w:val="0DE94169"/>
    <w:rsid w:val="0DF02D6C"/>
    <w:rsid w:val="0DF90C73"/>
    <w:rsid w:val="0E0B37B2"/>
    <w:rsid w:val="0E141E13"/>
    <w:rsid w:val="0E142327"/>
    <w:rsid w:val="0E156130"/>
    <w:rsid w:val="0E2A18DE"/>
    <w:rsid w:val="0E2D00F7"/>
    <w:rsid w:val="0E30054D"/>
    <w:rsid w:val="0E32746C"/>
    <w:rsid w:val="0E3328AE"/>
    <w:rsid w:val="0E5623D4"/>
    <w:rsid w:val="0E587561"/>
    <w:rsid w:val="0E5A7602"/>
    <w:rsid w:val="0E6650C5"/>
    <w:rsid w:val="0E697C9C"/>
    <w:rsid w:val="0E6F5A60"/>
    <w:rsid w:val="0E824E21"/>
    <w:rsid w:val="0E836F6A"/>
    <w:rsid w:val="0E895B5E"/>
    <w:rsid w:val="0E960F7B"/>
    <w:rsid w:val="0E9E4764"/>
    <w:rsid w:val="0E9F6674"/>
    <w:rsid w:val="0EA576BF"/>
    <w:rsid w:val="0EB323F5"/>
    <w:rsid w:val="0EB35AAC"/>
    <w:rsid w:val="0EDA7A9F"/>
    <w:rsid w:val="0EDC10CA"/>
    <w:rsid w:val="0EE86B35"/>
    <w:rsid w:val="0EEA0186"/>
    <w:rsid w:val="0EEE5174"/>
    <w:rsid w:val="0EEF6191"/>
    <w:rsid w:val="0EF615EC"/>
    <w:rsid w:val="0EFF6820"/>
    <w:rsid w:val="0F0642DE"/>
    <w:rsid w:val="0F095E02"/>
    <w:rsid w:val="0F1B059D"/>
    <w:rsid w:val="0F2E7854"/>
    <w:rsid w:val="0F375802"/>
    <w:rsid w:val="0F437B9A"/>
    <w:rsid w:val="0F45406A"/>
    <w:rsid w:val="0F464351"/>
    <w:rsid w:val="0F4E2AA8"/>
    <w:rsid w:val="0F5340A1"/>
    <w:rsid w:val="0F5C7F22"/>
    <w:rsid w:val="0F67506B"/>
    <w:rsid w:val="0F67624B"/>
    <w:rsid w:val="0F6B0AEA"/>
    <w:rsid w:val="0F715DD0"/>
    <w:rsid w:val="0F7B427C"/>
    <w:rsid w:val="0F9F07D9"/>
    <w:rsid w:val="0FA974B6"/>
    <w:rsid w:val="0FAD386A"/>
    <w:rsid w:val="0FB870F9"/>
    <w:rsid w:val="0FC87A81"/>
    <w:rsid w:val="0FCE7FF0"/>
    <w:rsid w:val="0FF2158A"/>
    <w:rsid w:val="102D5D9F"/>
    <w:rsid w:val="1050478E"/>
    <w:rsid w:val="105622D6"/>
    <w:rsid w:val="106A256C"/>
    <w:rsid w:val="107474E6"/>
    <w:rsid w:val="1088268D"/>
    <w:rsid w:val="108F0375"/>
    <w:rsid w:val="10902067"/>
    <w:rsid w:val="1094404F"/>
    <w:rsid w:val="10BB1878"/>
    <w:rsid w:val="10D46C0C"/>
    <w:rsid w:val="10DE4472"/>
    <w:rsid w:val="10E40274"/>
    <w:rsid w:val="10EB4A43"/>
    <w:rsid w:val="10EE6C49"/>
    <w:rsid w:val="10EF2C20"/>
    <w:rsid w:val="110E2E52"/>
    <w:rsid w:val="110E35A1"/>
    <w:rsid w:val="11134B92"/>
    <w:rsid w:val="111B4796"/>
    <w:rsid w:val="111C1EA6"/>
    <w:rsid w:val="111F004A"/>
    <w:rsid w:val="112C2DEB"/>
    <w:rsid w:val="11365EBA"/>
    <w:rsid w:val="113A2FD9"/>
    <w:rsid w:val="11411605"/>
    <w:rsid w:val="11647A09"/>
    <w:rsid w:val="11696A45"/>
    <w:rsid w:val="116B1961"/>
    <w:rsid w:val="1174641B"/>
    <w:rsid w:val="118E286E"/>
    <w:rsid w:val="119421FF"/>
    <w:rsid w:val="11A940EE"/>
    <w:rsid w:val="11AE7133"/>
    <w:rsid w:val="11BA6E30"/>
    <w:rsid w:val="11C34A59"/>
    <w:rsid w:val="11CB21EE"/>
    <w:rsid w:val="11F418F5"/>
    <w:rsid w:val="11F53491"/>
    <w:rsid w:val="11F85089"/>
    <w:rsid w:val="11FA0DD0"/>
    <w:rsid w:val="124D589A"/>
    <w:rsid w:val="1250573A"/>
    <w:rsid w:val="125B7289"/>
    <w:rsid w:val="12792D6A"/>
    <w:rsid w:val="12797771"/>
    <w:rsid w:val="127A061D"/>
    <w:rsid w:val="128C23F7"/>
    <w:rsid w:val="12A7636E"/>
    <w:rsid w:val="12AC72AA"/>
    <w:rsid w:val="12CA4940"/>
    <w:rsid w:val="12CE7289"/>
    <w:rsid w:val="12D76F9A"/>
    <w:rsid w:val="12D90B97"/>
    <w:rsid w:val="12EC78C3"/>
    <w:rsid w:val="12EF1FEB"/>
    <w:rsid w:val="13120193"/>
    <w:rsid w:val="13130B7E"/>
    <w:rsid w:val="1318544E"/>
    <w:rsid w:val="131A527E"/>
    <w:rsid w:val="131D7C7B"/>
    <w:rsid w:val="13230133"/>
    <w:rsid w:val="132A3FF5"/>
    <w:rsid w:val="1331774B"/>
    <w:rsid w:val="133F0713"/>
    <w:rsid w:val="134E52F9"/>
    <w:rsid w:val="135F27CF"/>
    <w:rsid w:val="136252FD"/>
    <w:rsid w:val="1367781A"/>
    <w:rsid w:val="13687AED"/>
    <w:rsid w:val="1370239B"/>
    <w:rsid w:val="1397268E"/>
    <w:rsid w:val="139E10E6"/>
    <w:rsid w:val="13A228F9"/>
    <w:rsid w:val="13B91BD3"/>
    <w:rsid w:val="13C52F1A"/>
    <w:rsid w:val="13C67C53"/>
    <w:rsid w:val="13EC227E"/>
    <w:rsid w:val="13ED462B"/>
    <w:rsid w:val="13F36030"/>
    <w:rsid w:val="14061013"/>
    <w:rsid w:val="141D437D"/>
    <w:rsid w:val="141D5B6B"/>
    <w:rsid w:val="14414274"/>
    <w:rsid w:val="144D1131"/>
    <w:rsid w:val="144E045D"/>
    <w:rsid w:val="14617292"/>
    <w:rsid w:val="146B6E96"/>
    <w:rsid w:val="14733E8C"/>
    <w:rsid w:val="14751005"/>
    <w:rsid w:val="14760053"/>
    <w:rsid w:val="14766F89"/>
    <w:rsid w:val="14806FDD"/>
    <w:rsid w:val="14852F7A"/>
    <w:rsid w:val="14983492"/>
    <w:rsid w:val="149A1057"/>
    <w:rsid w:val="149B7116"/>
    <w:rsid w:val="149D1861"/>
    <w:rsid w:val="14B70D31"/>
    <w:rsid w:val="14C140DA"/>
    <w:rsid w:val="14EB3BEB"/>
    <w:rsid w:val="15341207"/>
    <w:rsid w:val="15383FDD"/>
    <w:rsid w:val="153A4E27"/>
    <w:rsid w:val="155E7C05"/>
    <w:rsid w:val="15616521"/>
    <w:rsid w:val="15627071"/>
    <w:rsid w:val="1567667C"/>
    <w:rsid w:val="156B50DF"/>
    <w:rsid w:val="15776F86"/>
    <w:rsid w:val="15857A11"/>
    <w:rsid w:val="158E514C"/>
    <w:rsid w:val="159C07EE"/>
    <w:rsid w:val="15A60BA4"/>
    <w:rsid w:val="15AE6986"/>
    <w:rsid w:val="15BD5801"/>
    <w:rsid w:val="15C43A5C"/>
    <w:rsid w:val="15E24623"/>
    <w:rsid w:val="15FC1CF2"/>
    <w:rsid w:val="160219F0"/>
    <w:rsid w:val="1607621A"/>
    <w:rsid w:val="160C3A48"/>
    <w:rsid w:val="16113229"/>
    <w:rsid w:val="161435B7"/>
    <w:rsid w:val="161E336D"/>
    <w:rsid w:val="163D2B18"/>
    <w:rsid w:val="163D5A89"/>
    <w:rsid w:val="16402F73"/>
    <w:rsid w:val="165655C6"/>
    <w:rsid w:val="166343AB"/>
    <w:rsid w:val="166469C8"/>
    <w:rsid w:val="166718CF"/>
    <w:rsid w:val="16684A57"/>
    <w:rsid w:val="16702AF4"/>
    <w:rsid w:val="167B26BB"/>
    <w:rsid w:val="16A32F05"/>
    <w:rsid w:val="16D85AB8"/>
    <w:rsid w:val="16D94560"/>
    <w:rsid w:val="16DA1D18"/>
    <w:rsid w:val="16E14E2B"/>
    <w:rsid w:val="16E923D4"/>
    <w:rsid w:val="16EE74B7"/>
    <w:rsid w:val="170662D6"/>
    <w:rsid w:val="172D4C6D"/>
    <w:rsid w:val="173C0E97"/>
    <w:rsid w:val="1742484C"/>
    <w:rsid w:val="175479C8"/>
    <w:rsid w:val="175A5DDB"/>
    <w:rsid w:val="17706BB6"/>
    <w:rsid w:val="17741BF9"/>
    <w:rsid w:val="178E31BF"/>
    <w:rsid w:val="17926C2A"/>
    <w:rsid w:val="17931E5C"/>
    <w:rsid w:val="17A15F1D"/>
    <w:rsid w:val="17C24CFE"/>
    <w:rsid w:val="17C57B10"/>
    <w:rsid w:val="17D51615"/>
    <w:rsid w:val="17DD0CDD"/>
    <w:rsid w:val="17DE2ADC"/>
    <w:rsid w:val="17EC5A0C"/>
    <w:rsid w:val="18001F49"/>
    <w:rsid w:val="180B784D"/>
    <w:rsid w:val="18127E52"/>
    <w:rsid w:val="182A2CC9"/>
    <w:rsid w:val="182A611B"/>
    <w:rsid w:val="182C5EAA"/>
    <w:rsid w:val="183A4984"/>
    <w:rsid w:val="183C36B1"/>
    <w:rsid w:val="18402E34"/>
    <w:rsid w:val="18492633"/>
    <w:rsid w:val="18493992"/>
    <w:rsid w:val="184E7BA9"/>
    <w:rsid w:val="185248EA"/>
    <w:rsid w:val="18563E8F"/>
    <w:rsid w:val="185728DC"/>
    <w:rsid w:val="187F1909"/>
    <w:rsid w:val="188204C4"/>
    <w:rsid w:val="18854AEC"/>
    <w:rsid w:val="188F0329"/>
    <w:rsid w:val="188F5E4B"/>
    <w:rsid w:val="18983E6D"/>
    <w:rsid w:val="189D3E17"/>
    <w:rsid w:val="18B10A73"/>
    <w:rsid w:val="18B112CA"/>
    <w:rsid w:val="18C17CD8"/>
    <w:rsid w:val="18CE64A3"/>
    <w:rsid w:val="18E92A66"/>
    <w:rsid w:val="18EF4EDC"/>
    <w:rsid w:val="18FC5994"/>
    <w:rsid w:val="19187833"/>
    <w:rsid w:val="19225F84"/>
    <w:rsid w:val="192379E4"/>
    <w:rsid w:val="192671AD"/>
    <w:rsid w:val="192B2654"/>
    <w:rsid w:val="195A627E"/>
    <w:rsid w:val="19626E76"/>
    <w:rsid w:val="196A07EB"/>
    <w:rsid w:val="19754E64"/>
    <w:rsid w:val="19893848"/>
    <w:rsid w:val="19AB1691"/>
    <w:rsid w:val="19C95FDB"/>
    <w:rsid w:val="19CF178A"/>
    <w:rsid w:val="19D1017E"/>
    <w:rsid w:val="19E006A0"/>
    <w:rsid w:val="19F51C90"/>
    <w:rsid w:val="1A067504"/>
    <w:rsid w:val="1A0A434F"/>
    <w:rsid w:val="1A1343BF"/>
    <w:rsid w:val="1A1C2CC5"/>
    <w:rsid w:val="1A214772"/>
    <w:rsid w:val="1A3D3083"/>
    <w:rsid w:val="1A404D20"/>
    <w:rsid w:val="1A421DA6"/>
    <w:rsid w:val="1A431AF9"/>
    <w:rsid w:val="1A432B59"/>
    <w:rsid w:val="1A4A46E4"/>
    <w:rsid w:val="1A6371AB"/>
    <w:rsid w:val="1A6E5C87"/>
    <w:rsid w:val="1A7B5308"/>
    <w:rsid w:val="1A8D55AC"/>
    <w:rsid w:val="1A8F10AE"/>
    <w:rsid w:val="1A912CD4"/>
    <w:rsid w:val="1A98574D"/>
    <w:rsid w:val="1AB01E9B"/>
    <w:rsid w:val="1AB53EE5"/>
    <w:rsid w:val="1ABB3F77"/>
    <w:rsid w:val="1AC767BA"/>
    <w:rsid w:val="1AD137E2"/>
    <w:rsid w:val="1AD65857"/>
    <w:rsid w:val="1AEF526D"/>
    <w:rsid w:val="1B037ECA"/>
    <w:rsid w:val="1B0D4A8A"/>
    <w:rsid w:val="1B2772DC"/>
    <w:rsid w:val="1B3121EF"/>
    <w:rsid w:val="1B455B9A"/>
    <w:rsid w:val="1B47434A"/>
    <w:rsid w:val="1B4D00F8"/>
    <w:rsid w:val="1B5C2664"/>
    <w:rsid w:val="1B5C39DD"/>
    <w:rsid w:val="1B60370C"/>
    <w:rsid w:val="1B767AE4"/>
    <w:rsid w:val="1B7932EE"/>
    <w:rsid w:val="1B7B2FFB"/>
    <w:rsid w:val="1B856C73"/>
    <w:rsid w:val="1B880593"/>
    <w:rsid w:val="1B8C22C4"/>
    <w:rsid w:val="1BB21DDD"/>
    <w:rsid w:val="1BD016FF"/>
    <w:rsid w:val="1BD922D4"/>
    <w:rsid w:val="1BE00ED0"/>
    <w:rsid w:val="1BE928FF"/>
    <w:rsid w:val="1BF51E2E"/>
    <w:rsid w:val="1C2D0015"/>
    <w:rsid w:val="1C30043D"/>
    <w:rsid w:val="1C340806"/>
    <w:rsid w:val="1C5B2762"/>
    <w:rsid w:val="1C5F2697"/>
    <w:rsid w:val="1C702EB0"/>
    <w:rsid w:val="1C831A57"/>
    <w:rsid w:val="1C8358E4"/>
    <w:rsid w:val="1C862DF0"/>
    <w:rsid w:val="1C8D5D7B"/>
    <w:rsid w:val="1C8E7DBB"/>
    <w:rsid w:val="1C913DC0"/>
    <w:rsid w:val="1C9969AA"/>
    <w:rsid w:val="1CB408FD"/>
    <w:rsid w:val="1CC36781"/>
    <w:rsid w:val="1CDB109C"/>
    <w:rsid w:val="1CE036AE"/>
    <w:rsid w:val="1CE80E76"/>
    <w:rsid w:val="1CF0104A"/>
    <w:rsid w:val="1CF053F6"/>
    <w:rsid w:val="1D052931"/>
    <w:rsid w:val="1D05662F"/>
    <w:rsid w:val="1D0B61E3"/>
    <w:rsid w:val="1D1A1BE1"/>
    <w:rsid w:val="1D1B06FC"/>
    <w:rsid w:val="1D1F27EC"/>
    <w:rsid w:val="1D233EB4"/>
    <w:rsid w:val="1D3343ED"/>
    <w:rsid w:val="1D4B489C"/>
    <w:rsid w:val="1D4F4AC5"/>
    <w:rsid w:val="1D6B6B98"/>
    <w:rsid w:val="1D716CE1"/>
    <w:rsid w:val="1D7276DA"/>
    <w:rsid w:val="1D766548"/>
    <w:rsid w:val="1D970904"/>
    <w:rsid w:val="1DB227DA"/>
    <w:rsid w:val="1DBA71F2"/>
    <w:rsid w:val="1DBE28C4"/>
    <w:rsid w:val="1DC445D4"/>
    <w:rsid w:val="1DD804CF"/>
    <w:rsid w:val="1DF575BD"/>
    <w:rsid w:val="1E046894"/>
    <w:rsid w:val="1E14473F"/>
    <w:rsid w:val="1E187B92"/>
    <w:rsid w:val="1E1922DA"/>
    <w:rsid w:val="1E1E2D27"/>
    <w:rsid w:val="1E214EF6"/>
    <w:rsid w:val="1E304239"/>
    <w:rsid w:val="1E657725"/>
    <w:rsid w:val="1E6B08E8"/>
    <w:rsid w:val="1E6B38F5"/>
    <w:rsid w:val="1E706EA2"/>
    <w:rsid w:val="1E791923"/>
    <w:rsid w:val="1E833606"/>
    <w:rsid w:val="1E8672DF"/>
    <w:rsid w:val="1EB454AE"/>
    <w:rsid w:val="1EBB1250"/>
    <w:rsid w:val="1EC20AA2"/>
    <w:rsid w:val="1EC65EFA"/>
    <w:rsid w:val="1ECC13C5"/>
    <w:rsid w:val="1ED54FF6"/>
    <w:rsid w:val="1EDE4A15"/>
    <w:rsid w:val="1EE01DC7"/>
    <w:rsid w:val="1EE101AB"/>
    <w:rsid w:val="1EF34BEC"/>
    <w:rsid w:val="1EFC41C0"/>
    <w:rsid w:val="1F000716"/>
    <w:rsid w:val="1F095CE8"/>
    <w:rsid w:val="1F0F3610"/>
    <w:rsid w:val="1F163955"/>
    <w:rsid w:val="1F2F3A44"/>
    <w:rsid w:val="1F330113"/>
    <w:rsid w:val="1F333C2D"/>
    <w:rsid w:val="1F3601CB"/>
    <w:rsid w:val="1F3634F4"/>
    <w:rsid w:val="1F390CCB"/>
    <w:rsid w:val="1F474408"/>
    <w:rsid w:val="1F5467CD"/>
    <w:rsid w:val="1F5A3E5D"/>
    <w:rsid w:val="1F5F05A6"/>
    <w:rsid w:val="1F620DA0"/>
    <w:rsid w:val="1F647FFF"/>
    <w:rsid w:val="1F6A5C17"/>
    <w:rsid w:val="1F7B4F58"/>
    <w:rsid w:val="1F7E151E"/>
    <w:rsid w:val="1F9C5A67"/>
    <w:rsid w:val="1FA56739"/>
    <w:rsid w:val="1FA73DC0"/>
    <w:rsid w:val="1FB23051"/>
    <w:rsid w:val="1FC36302"/>
    <w:rsid w:val="1FF51AC2"/>
    <w:rsid w:val="200E67C4"/>
    <w:rsid w:val="20123FE6"/>
    <w:rsid w:val="20157D6C"/>
    <w:rsid w:val="20167ABB"/>
    <w:rsid w:val="201A5B85"/>
    <w:rsid w:val="201B49BF"/>
    <w:rsid w:val="201C286F"/>
    <w:rsid w:val="202751A8"/>
    <w:rsid w:val="204237D0"/>
    <w:rsid w:val="204428B7"/>
    <w:rsid w:val="2049095D"/>
    <w:rsid w:val="20524868"/>
    <w:rsid w:val="2074637B"/>
    <w:rsid w:val="20774667"/>
    <w:rsid w:val="20776F95"/>
    <w:rsid w:val="20946DE9"/>
    <w:rsid w:val="20A6034B"/>
    <w:rsid w:val="20B75B9A"/>
    <w:rsid w:val="20CF1AD6"/>
    <w:rsid w:val="20E37BA6"/>
    <w:rsid w:val="20E44E32"/>
    <w:rsid w:val="20E4532E"/>
    <w:rsid w:val="20F3314D"/>
    <w:rsid w:val="20F7650E"/>
    <w:rsid w:val="21055681"/>
    <w:rsid w:val="21086CE7"/>
    <w:rsid w:val="210874F5"/>
    <w:rsid w:val="213665E8"/>
    <w:rsid w:val="2144085C"/>
    <w:rsid w:val="21483830"/>
    <w:rsid w:val="215B4DCE"/>
    <w:rsid w:val="21661529"/>
    <w:rsid w:val="217045D4"/>
    <w:rsid w:val="217A5DF5"/>
    <w:rsid w:val="217B0BD5"/>
    <w:rsid w:val="217D38D3"/>
    <w:rsid w:val="2184781A"/>
    <w:rsid w:val="21902B36"/>
    <w:rsid w:val="21A44E77"/>
    <w:rsid w:val="21A7266D"/>
    <w:rsid w:val="21B0303F"/>
    <w:rsid w:val="21B14B1C"/>
    <w:rsid w:val="21B21D5D"/>
    <w:rsid w:val="21CD2D4B"/>
    <w:rsid w:val="21CD629D"/>
    <w:rsid w:val="21D912CC"/>
    <w:rsid w:val="21EA327F"/>
    <w:rsid w:val="220351DC"/>
    <w:rsid w:val="22154F1D"/>
    <w:rsid w:val="2241272F"/>
    <w:rsid w:val="224D4C0E"/>
    <w:rsid w:val="224D5FBE"/>
    <w:rsid w:val="225C027C"/>
    <w:rsid w:val="22640283"/>
    <w:rsid w:val="226770D7"/>
    <w:rsid w:val="226C70E6"/>
    <w:rsid w:val="22777D5A"/>
    <w:rsid w:val="229B4397"/>
    <w:rsid w:val="22A37076"/>
    <w:rsid w:val="22AD5321"/>
    <w:rsid w:val="22AE1DAC"/>
    <w:rsid w:val="22B44B41"/>
    <w:rsid w:val="22CB07EE"/>
    <w:rsid w:val="22E34D6C"/>
    <w:rsid w:val="22F154EE"/>
    <w:rsid w:val="22F848A8"/>
    <w:rsid w:val="23086FED"/>
    <w:rsid w:val="230F041B"/>
    <w:rsid w:val="23115E84"/>
    <w:rsid w:val="23160915"/>
    <w:rsid w:val="231B585A"/>
    <w:rsid w:val="231D1AE7"/>
    <w:rsid w:val="232B01EE"/>
    <w:rsid w:val="232B70D4"/>
    <w:rsid w:val="232F0D4F"/>
    <w:rsid w:val="23496D02"/>
    <w:rsid w:val="235837AD"/>
    <w:rsid w:val="236E5787"/>
    <w:rsid w:val="237F4F2F"/>
    <w:rsid w:val="23811369"/>
    <w:rsid w:val="238A2A55"/>
    <w:rsid w:val="239B5DAD"/>
    <w:rsid w:val="23A4032A"/>
    <w:rsid w:val="23B93B2A"/>
    <w:rsid w:val="23CD735F"/>
    <w:rsid w:val="23E22603"/>
    <w:rsid w:val="23E763E6"/>
    <w:rsid w:val="23EC3140"/>
    <w:rsid w:val="23ED1064"/>
    <w:rsid w:val="23EE7706"/>
    <w:rsid w:val="23F0441E"/>
    <w:rsid w:val="240B094D"/>
    <w:rsid w:val="240B73AF"/>
    <w:rsid w:val="241B574C"/>
    <w:rsid w:val="24270E2F"/>
    <w:rsid w:val="24340266"/>
    <w:rsid w:val="24352443"/>
    <w:rsid w:val="243602F4"/>
    <w:rsid w:val="2459336F"/>
    <w:rsid w:val="245F5BD8"/>
    <w:rsid w:val="24606919"/>
    <w:rsid w:val="246267BA"/>
    <w:rsid w:val="246D7AEC"/>
    <w:rsid w:val="24785B5D"/>
    <w:rsid w:val="24810A39"/>
    <w:rsid w:val="248D57DE"/>
    <w:rsid w:val="248E4272"/>
    <w:rsid w:val="24903AA3"/>
    <w:rsid w:val="249048E9"/>
    <w:rsid w:val="249127C1"/>
    <w:rsid w:val="24936419"/>
    <w:rsid w:val="24955E76"/>
    <w:rsid w:val="24A46EF1"/>
    <w:rsid w:val="24AF18D2"/>
    <w:rsid w:val="24B0694E"/>
    <w:rsid w:val="24B07AE0"/>
    <w:rsid w:val="24B42877"/>
    <w:rsid w:val="24BB66C8"/>
    <w:rsid w:val="24BC0C80"/>
    <w:rsid w:val="24C07167"/>
    <w:rsid w:val="24C51C21"/>
    <w:rsid w:val="24D472ED"/>
    <w:rsid w:val="24F53309"/>
    <w:rsid w:val="24FA4A80"/>
    <w:rsid w:val="25180974"/>
    <w:rsid w:val="251F106A"/>
    <w:rsid w:val="253551A2"/>
    <w:rsid w:val="253D720E"/>
    <w:rsid w:val="25452B20"/>
    <w:rsid w:val="25467926"/>
    <w:rsid w:val="254D0798"/>
    <w:rsid w:val="25591847"/>
    <w:rsid w:val="255A37A4"/>
    <w:rsid w:val="25615702"/>
    <w:rsid w:val="256246C6"/>
    <w:rsid w:val="25777D91"/>
    <w:rsid w:val="258722C9"/>
    <w:rsid w:val="258E2C68"/>
    <w:rsid w:val="259130BD"/>
    <w:rsid w:val="259F79B8"/>
    <w:rsid w:val="25A06647"/>
    <w:rsid w:val="25AA3CCF"/>
    <w:rsid w:val="25B12D20"/>
    <w:rsid w:val="25D02118"/>
    <w:rsid w:val="25D60ECB"/>
    <w:rsid w:val="25DB0F4D"/>
    <w:rsid w:val="25DF3B41"/>
    <w:rsid w:val="25E474FE"/>
    <w:rsid w:val="25E5317E"/>
    <w:rsid w:val="25F21C11"/>
    <w:rsid w:val="25FE6FAE"/>
    <w:rsid w:val="260529B4"/>
    <w:rsid w:val="26202E1E"/>
    <w:rsid w:val="26265C60"/>
    <w:rsid w:val="262A07EA"/>
    <w:rsid w:val="2635510E"/>
    <w:rsid w:val="264264B9"/>
    <w:rsid w:val="26463E86"/>
    <w:rsid w:val="26487F9D"/>
    <w:rsid w:val="264A1228"/>
    <w:rsid w:val="26525D79"/>
    <w:rsid w:val="265863F8"/>
    <w:rsid w:val="265D48BE"/>
    <w:rsid w:val="265E7446"/>
    <w:rsid w:val="26603736"/>
    <w:rsid w:val="266A42A0"/>
    <w:rsid w:val="26747569"/>
    <w:rsid w:val="2678238F"/>
    <w:rsid w:val="267C4A0E"/>
    <w:rsid w:val="26804FE0"/>
    <w:rsid w:val="269469A8"/>
    <w:rsid w:val="2695478E"/>
    <w:rsid w:val="269B7AAF"/>
    <w:rsid w:val="26BB2A3E"/>
    <w:rsid w:val="26D16627"/>
    <w:rsid w:val="26E05400"/>
    <w:rsid w:val="26EF242B"/>
    <w:rsid w:val="27077A81"/>
    <w:rsid w:val="273C316E"/>
    <w:rsid w:val="273D2D7D"/>
    <w:rsid w:val="27547A12"/>
    <w:rsid w:val="277F2F85"/>
    <w:rsid w:val="27874EFD"/>
    <w:rsid w:val="2788052A"/>
    <w:rsid w:val="27A51F9D"/>
    <w:rsid w:val="27AA0449"/>
    <w:rsid w:val="27AF4A5B"/>
    <w:rsid w:val="27B24BEA"/>
    <w:rsid w:val="27C60B5C"/>
    <w:rsid w:val="27D910E0"/>
    <w:rsid w:val="27DB509A"/>
    <w:rsid w:val="27FE261C"/>
    <w:rsid w:val="28146C4C"/>
    <w:rsid w:val="28210112"/>
    <w:rsid w:val="28301998"/>
    <w:rsid w:val="28302868"/>
    <w:rsid w:val="2835717D"/>
    <w:rsid w:val="28480EBD"/>
    <w:rsid w:val="284E7491"/>
    <w:rsid w:val="285842F3"/>
    <w:rsid w:val="286B4BBD"/>
    <w:rsid w:val="287706CB"/>
    <w:rsid w:val="28804C28"/>
    <w:rsid w:val="28862775"/>
    <w:rsid w:val="289E48D0"/>
    <w:rsid w:val="289E6D29"/>
    <w:rsid w:val="28A73352"/>
    <w:rsid w:val="28A9509D"/>
    <w:rsid w:val="28AC7E2F"/>
    <w:rsid w:val="28B247E9"/>
    <w:rsid w:val="28C332ED"/>
    <w:rsid w:val="28DD4788"/>
    <w:rsid w:val="28DE7BF3"/>
    <w:rsid w:val="28E23E79"/>
    <w:rsid w:val="28E776EE"/>
    <w:rsid w:val="28E96C3C"/>
    <w:rsid w:val="28EF38E5"/>
    <w:rsid w:val="29055D85"/>
    <w:rsid w:val="291018BD"/>
    <w:rsid w:val="29104783"/>
    <w:rsid w:val="29223182"/>
    <w:rsid w:val="29231341"/>
    <w:rsid w:val="29364E73"/>
    <w:rsid w:val="29373A99"/>
    <w:rsid w:val="293D77C8"/>
    <w:rsid w:val="29400AFA"/>
    <w:rsid w:val="29410A3A"/>
    <w:rsid w:val="294272B8"/>
    <w:rsid w:val="297442AD"/>
    <w:rsid w:val="297A05B1"/>
    <w:rsid w:val="297E550F"/>
    <w:rsid w:val="298B75DB"/>
    <w:rsid w:val="298E193D"/>
    <w:rsid w:val="29976D18"/>
    <w:rsid w:val="299912AB"/>
    <w:rsid w:val="299B66DE"/>
    <w:rsid w:val="29A8408B"/>
    <w:rsid w:val="29B86847"/>
    <w:rsid w:val="29DC2DF0"/>
    <w:rsid w:val="29E74D59"/>
    <w:rsid w:val="29EA546B"/>
    <w:rsid w:val="2A026334"/>
    <w:rsid w:val="2A24600D"/>
    <w:rsid w:val="2A291912"/>
    <w:rsid w:val="2A2D79A0"/>
    <w:rsid w:val="2A2E6EAA"/>
    <w:rsid w:val="2A324904"/>
    <w:rsid w:val="2A455999"/>
    <w:rsid w:val="2A4B202A"/>
    <w:rsid w:val="2A530EFB"/>
    <w:rsid w:val="2A597EA1"/>
    <w:rsid w:val="2A6A18EF"/>
    <w:rsid w:val="2A6F5980"/>
    <w:rsid w:val="2A73431D"/>
    <w:rsid w:val="2A796292"/>
    <w:rsid w:val="2A7B578D"/>
    <w:rsid w:val="2A7C4F17"/>
    <w:rsid w:val="2A92282B"/>
    <w:rsid w:val="2A95297D"/>
    <w:rsid w:val="2AA813CE"/>
    <w:rsid w:val="2AAF626D"/>
    <w:rsid w:val="2AB14CCD"/>
    <w:rsid w:val="2AB524E8"/>
    <w:rsid w:val="2ABA427C"/>
    <w:rsid w:val="2AC6096F"/>
    <w:rsid w:val="2AD12E88"/>
    <w:rsid w:val="2AD76567"/>
    <w:rsid w:val="2AE632C3"/>
    <w:rsid w:val="2AF957DB"/>
    <w:rsid w:val="2B0A2D2F"/>
    <w:rsid w:val="2B0A34EA"/>
    <w:rsid w:val="2B10186F"/>
    <w:rsid w:val="2B133468"/>
    <w:rsid w:val="2B2A3BB0"/>
    <w:rsid w:val="2B2D6B8C"/>
    <w:rsid w:val="2B301E76"/>
    <w:rsid w:val="2B42455E"/>
    <w:rsid w:val="2B4F1952"/>
    <w:rsid w:val="2B51722E"/>
    <w:rsid w:val="2B5E6E45"/>
    <w:rsid w:val="2B627EF0"/>
    <w:rsid w:val="2B7060E9"/>
    <w:rsid w:val="2B767AD8"/>
    <w:rsid w:val="2B9169B3"/>
    <w:rsid w:val="2B9A2276"/>
    <w:rsid w:val="2B9A697F"/>
    <w:rsid w:val="2BA07A6A"/>
    <w:rsid w:val="2BC1389A"/>
    <w:rsid w:val="2BCC3DC7"/>
    <w:rsid w:val="2BD30AB4"/>
    <w:rsid w:val="2C0A3C94"/>
    <w:rsid w:val="2C2426E7"/>
    <w:rsid w:val="2C254632"/>
    <w:rsid w:val="2C291C73"/>
    <w:rsid w:val="2C2C4866"/>
    <w:rsid w:val="2C335B86"/>
    <w:rsid w:val="2C36103A"/>
    <w:rsid w:val="2C5E10FF"/>
    <w:rsid w:val="2C96192A"/>
    <w:rsid w:val="2C97163C"/>
    <w:rsid w:val="2C98683F"/>
    <w:rsid w:val="2CAD4CE4"/>
    <w:rsid w:val="2CB014A5"/>
    <w:rsid w:val="2CB40935"/>
    <w:rsid w:val="2CBA225E"/>
    <w:rsid w:val="2CC3527A"/>
    <w:rsid w:val="2CCC0D70"/>
    <w:rsid w:val="2CDE4EC7"/>
    <w:rsid w:val="2CE03F26"/>
    <w:rsid w:val="2CF33A75"/>
    <w:rsid w:val="2CF424F6"/>
    <w:rsid w:val="2CF9552F"/>
    <w:rsid w:val="2D021B72"/>
    <w:rsid w:val="2D086613"/>
    <w:rsid w:val="2D0B1643"/>
    <w:rsid w:val="2D0F7F60"/>
    <w:rsid w:val="2D3145F0"/>
    <w:rsid w:val="2D6B0C6B"/>
    <w:rsid w:val="2D8F7005"/>
    <w:rsid w:val="2DAF53ED"/>
    <w:rsid w:val="2DB54EC0"/>
    <w:rsid w:val="2DB84B8E"/>
    <w:rsid w:val="2DB97690"/>
    <w:rsid w:val="2DBA6D1C"/>
    <w:rsid w:val="2DE623A4"/>
    <w:rsid w:val="2DE84C8A"/>
    <w:rsid w:val="2DF0163A"/>
    <w:rsid w:val="2DF70C58"/>
    <w:rsid w:val="2E0254CC"/>
    <w:rsid w:val="2E12294A"/>
    <w:rsid w:val="2E140DF3"/>
    <w:rsid w:val="2E357507"/>
    <w:rsid w:val="2E3F5A1F"/>
    <w:rsid w:val="2E46143A"/>
    <w:rsid w:val="2E592162"/>
    <w:rsid w:val="2E5A4317"/>
    <w:rsid w:val="2E6C29B7"/>
    <w:rsid w:val="2E7A5DF5"/>
    <w:rsid w:val="2E975572"/>
    <w:rsid w:val="2EA72A3C"/>
    <w:rsid w:val="2EB7179A"/>
    <w:rsid w:val="2EC24FDA"/>
    <w:rsid w:val="2ECF1B9D"/>
    <w:rsid w:val="2EEC32C6"/>
    <w:rsid w:val="2F067200"/>
    <w:rsid w:val="2F0E715E"/>
    <w:rsid w:val="2F1622FB"/>
    <w:rsid w:val="2F2A2AC9"/>
    <w:rsid w:val="2F2B795C"/>
    <w:rsid w:val="2F5F67EC"/>
    <w:rsid w:val="2F6E225B"/>
    <w:rsid w:val="2F7126CF"/>
    <w:rsid w:val="2F877FB2"/>
    <w:rsid w:val="2FA626FC"/>
    <w:rsid w:val="2FA7402D"/>
    <w:rsid w:val="2FAA3DA6"/>
    <w:rsid w:val="2FAE747F"/>
    <w:rsid w:val="2FB016CE"/>
    <w:rsid w:val="2FB6466B"/>
    <w:rsid w:val="2FC66600"/>
    <w:rsid w:val="2FCA0751"/>
    <w:rsid w:val="2FD65F76"/>
    <w:rsid w:val="2FF12F08"/>
    <w:rsid w:val="30020108"/>
    <w:rsid w:val="30300198"/>
    <w:rsid w:val="30342814"/>
    <w:rsid w:val="303E0322"/>
    <w:rsid w:val="304003C1"/>
    <w:rsid w:val="304F6543"/>
    <w:rsid w:val="305C23C5"/>
    <w:rsid w:val="30614C14"/>
    <w:rsid w:val="30710D08"/>
    <w:rsid w:val="3081630B"/>
    <w:rsid w:val="30CA3866"/>
    <w:rsid w:val="30D04588"/>
    <w:rsid w:val="30DA7331"/>
    <w:rsid w:val="30DE4005"/>
    <w:rsid w:val="30E66E34"/>
    <w:rsid w:val="30E94A8C"/>
    <w:rsid w:val="30EB069F"/>
    <w:rsid w:val="30F01712"/>
    <w:rsid w:val="30FD7353"/>
    <w:rsid w:val="312266D1"/>
    <w:rsid w:val="313B381E"/>
    <w:rsid w:val="31494D3C"/>
    <w:rsid w:val="314E0B01"/>
    <w:rsid w:val="31545516"/>
    <w:rsid w:val="31553FEB"/>
    <w:rsid w:val="315655C7"/>
    <w:rsid w:val="315935FF"/>
    <w:rsid w:val="31597A30"/>
    <w:rsid w:val="315F3BCC"/>
    <w:rsid w:val="31781945"/>
    <w:rsid w:val="317B4E90"/>
    <w:rsid w:val="317F380A"/>
    <w:rsid w:val="31811412"/>
    <w:rsid w:val="3191559B"/>
    <w:rsid w:val="31A87F77"/>
    <w:rsid w:val="31BC1D91"/>
    <w:rsid w:val="31BE2E10"/>
    <w:rsid w:val="31BF06EA"/>
    <w:rsid w:val="31F65F10"/>
    <w:rsid w:val="31F9441A"/>
    <w:rsid w:val="31FB0B7D"/>
    <w:rsid w:val="32174B3E"/>
    <w:rsid w:val="32203D9B"/>
    <w:rsid w:val="3226738E"/>
    <w:rsid w:val="322E1E88"/>
    <w:rsid w:val="32460260"/>
    <w:rsid w:val="3246505A"/>
    <w:rsid w:val="32616EFA"/>
    <w:rsid w:val="32733FF5"/>
    <w:rsid w:val="32836B44"/>
    <w:rsid w:val="328B3F35"/>
    <w:rsid w:val="3291564A"/>
    <w:rsid w:val="329A3833"/>
    <w:rsid w:val="32BD0203"/>
    <w:rsid w:val="32E0684A"/>
    <w:rsid w:val="32FB2854"/>
    <w:rsid w:val="32FB3732"/>
    <w:rsid w:val="330360DB"/>
    <w:rsid w:val="3306636C"/>
    <w:rsid w:val="330A6248"/>
    <w:rsid w:val="3314442C"/>
    <w:rsid w:val="33174EAA"/>
    <w:rsid w:val="33182F0A"/>
    <w:rsid w:val="33317D02"/>
    <w:rsid w:val="33335287"/>
    <w:rsid w:val="33525B32"/>
    <w:rsid w:val="33621A10"/>
    <w:rsid w:val="3363382C"/>
    <w:rsid w:val="33667CF7"/>
    <w:rsid w:val="337D5B9C"/>
    <w:rsid w:val="339361D0"/>
    <w:rsid w:val="33940DC7"/>
    <w:rsid w:val="339774A7"/>
    <w:rsid w:val="339B42D2"/>
    <w:rsid w:val="33A7376F"/>
    <w:rsid w:val="33B36CEA"/>
    <w:rsid w:val="33BB22AF"/>
    <w:rsid w:val="33C65587"/>
    <w:rsid w:val="33CF1B6E"/>
    <w:rsid w:val="33D53E7A"/>
    <w:rsid w:val="33D54B73"/>
    <w:rsid w:val="33E113BE"/>
    <w:rsid w:val="33E4349A"/>
    <w:rsid w:val="33E871CC"/>
    <w:rsid w:val="33ED44EB"/>
    <w:rsid w:val="33F17688"/>
    <w:rsid w:val="340250D9"/>
    <w:rsid w:val="340B30E1"/>
    <w:rsid w:val="34165EBD"/>
    <w:rsid w:val="34222F9F"/>
    <w:rsid w:val="342D6FAC"/>
    <w:rsid w:val="343D17C3"/>
    <w:rsid w:val="34401B48"/>
    <w:rsid w:val="344423AC"/>
    <w:rsid w:val="344D0BEB"/>
    <w:rsid w:val="34561E14"/>
    <w:rsid w:val="345A316C"/>
    <w:rsid w:val="3467571E"/>
    <w:rsid w:val="3468653D"/>
    <w:rsid w:val="34700C15"/>
    <w:rsid w:val="34755C4B"/>
    <w:rsid w:val="34950AA3"/>
    <w:rsid w:val="34980C81"/>
    <w:rsid w:val="34993F7F"/>
    <w:rsid w:val="34A17C80"/>
    <w:rsid w:val="34A34C21"/>
    <w:rsid w:val="34AF31B0"/>
    <w:rsid w:val="34B53875"/>
    <w:rsid w:val="34B770AA"/>
    <w:rsid w:val="34C63A48"/>
    <w:rsid w:val="34E90EF5"/>
    <w:rsid w:val="34E971A6"/>
    <w:rsid w:val="34EA2EB6"/>
    <w:rsid w:val="34EA443F"/>
    <w:rsid w:val="34F67E2A"/>
    <w:rsid w:val="34F85277"/>
    <w:rsid w:val="34FD2855"/>
    <w:rsid w:val="34FE0128"/>
    <w:rsid w:val="350534C6"/>
    <w:rsid w:val="351C566C"/>
    <w:rsid w:val="351D3F50"/>
    <w:rsid w:val="353A4D8D"/>
    <w:rsid w:val="354C7D16"/>
    <w:rsid w:val="354F3CA7"/>
    <w:rsid w:val="3553307A"/>
    <w:rsid w:val="3553522A"/>
    <w:rsid w:val="35551063"/>
    <w:rsid w:val="355B21FA"/>
    <w:rsid w:val="355C4CF1"/>
    <w:rsid w:val="359D75D1"/>
    <w:rsid w:val="35A36253"/>
    <w:rsid w:val="35BD4377"/>
    <w:rsid w:val="35C67BA8"/>
    <w:rsid w:val="35C83FDA"/>
    <w:rsid w:val="35CE79D8"/>
    <w:rsid w:val="35E019FA"/>
    <w:rsid w:val="35E10E4C"/>
    <w:rsid w:val="360601AF"/>
    <w:rsid w:val="3620507D"/>
    <w:rsid w:val="36306647"/>
    <w:rsid w:val="36467A89"/>
    <w:rsid w:val="364705E6"/>
    <w:rsid w:val="36471B08"/>
    <w:rsid w:val="364A3F97"/>
    <w:rsid w:val="36504905"/>
    <w:rsid w:val="366A611E"/>
    <w:rsid w:val="367478CA"/>
    <w:rsid w:val="368D09CF"/>
    <w:rsid w:val="36A052AF"/>
    <w:rsid w:val="36AD1740"/>
    <w:rsid w:val="36C03160"/>
    <w:rsid w:val="36C4635E"/>
    <w:rsid w:val="36CC2D1A"/>
    <w:rsid w:val="36D52FE6"/>
    <w:rsid w:val="36E67CB4"/>
    <w:rsid w:val="36F167A2"/>
    <w:rsid w:val="36F574CC"/>
    <w:rsid w:val="36FC4C54"/>
    <w:rsid w:val="370E4B3A"/>
    <w:rsid w:val="37123260"/>
    <w:rsid w:val="371B29C0"/>
    <w:rsid w:val="371D4DC9"/>
    <w:rsid w:val="3723271F"/>
    <w:rsid w:val="372E5CAD"/>
    <w:rsid w:val="37326502"/>
    <w:rsid w:val="373525A7"/>
    <w:rsid w:val="37366669"/>
    <w:rsid w:val="37576F2B"/>
    <w:rsid w:val="376F1C9B"/>
    <w:rsid w:val="377F2AAB"/>
    <w:rsid w:val="378254BF"/>
    <w:rsid w:val="37860B46"/>
    <w:rsid w:val="3788454A"/>
    <w:rsid w:val="37977F9E"/>
    <w:rsid w:val="379F6096"/>
    <w:rsid w:val="37A34B8B"/>
    <w:rsid w:val="37BA3443"/>
    <w:rsid w:val="37D720AC"/>
    <w:rsid w:val="37DE6B0A"/>
    <w:rsid w:val="37DF32B8"/>
    <w:rsid w:val="37EA4CA4"/>
    <w:rsid w:val="37EE42E9"/>
    <w:rsid w:val="37EF352D"/>
    <w:rsid w:val="380B3631"/>
    <w:rsid w:val="381558F4"/>
    <w:rsid w:val="381D2B6B"/>
    <w:rsid w:val="38216186"/>
    <w:rsid w:val="382740E0"/>
    <w:rsid w:val="38386DC7"/>
    <w:rsid w:val="385A5085"/>
    <w:rsid w:val="385A5374"/>
    <w:rsid w:val="38604C2C"/>
    <w:rsid w:val="386B272B"/>
    <w:rsid w:val="38803644"/>
    <w:rsid w:val="388119F8"/>
    <w:rsid w:val="38916B63"/>
    <w:rsid w:val="389242FF"/>
    <w:rsid w:val="38A77011"/>
    <w:rsid w:val="38AE28CB"/>
    <w:rsid w:val="38B11C64"/>
    <w:rsid w:val="38B127BE"/>
    <w:rsid w:val="38C34C43"/>
    <w:rsid w:val="38C806DD"/>
    <w:rsid w:val="38D347D3"/>
    <w:rsid w:val="38EF1348"/>
    <w:rsid w:val="38F22131"/>
    <w:rsid w:val="38F4513A"/>
    <w:rsid w:val="38FB43DD"/>
    <w:rsid w:val="38FC6B71"/>
    <w:rsid w:val="39200B80"/>
    <w:rsid w:val="39203865"/>
    <w:rsid w:val="39273FEF"/>
    <w:rsid w:val="39276A10"/>
    <w:rsid w:val="392F5B7E"/>
    <w:rsid w:val="393C061A"/>
    <w:rsid w:val="394F4BB1"/>
    <w:rsid w:val="39611CA7"/>
    <w:rsid w:val="396E4B0D"/>
    <w:rsid w:val="39782CCA"/>
    <w:rsid w:val="397B025B"/>
    <w:rsid w:val="397B7C91"/>
    <w:rsid w:val="398232EA"/>
    <w:rsid w:val="39980446"/>
    <w:rsid w:val="3999784E"/>
    <w:rsid w:val="399A7EF5"/>
    <w:rsid w:val="399E47DE"/>
    <w:rsid w:val="39B62875"/>
    <w:rsid w:val="39BB7CD3"/>
    <w:rsid w:val="39CE5E65"/>
    <w:rsid w:val="39D0302B"/>
    <w:rsid w:val="39E221E7"/>
    <w:rsid w:val="39EA0D00"/>
    <w:rsid w:val="39FA6A0A"/>
    <w:rsid w:val="39FF5C98"/>
    <w:rsid w:val="3A052B9F"/>
    <w:rsid w:val="3A2C39CE"/>
    <w:rsid w:val="3A2D460C"/>
    <w:rsid w:val="3A32018F"/>
    <w:rsid w:val="3A390A87"/>
    <w:rsid w:val="3A3D20E9"/>
    <w:rsid w:val="3A3D4A7A"/>
    <w:rsid w:val="3A3E739A"/>
    <w:rsid w:val="3A504F6B"/>
    <w:rsid w:val="3A5079B8"/>
    <w:rsid w:val="3A541FF7"/>
    <w:rsid w:val="3A542579"/>
    <w:rsid w:val="3A5E56E0"/>
    <w:rsid w:val="3A8C1D67"/>
    <w:rsid w:val="3A8E44B4"/>
    <w:rsid w:val="3A9060A6"/>
    <w:rsid w:val="3A9521EF"/>
    <w:rsid w:val="3A9F0A52"/>
    <w:rsid w:val="3AC702CD"/>
    <w:rsid w:val="3ACC0075"/>
    <w:rsid w:val="3ACF5AAE"/>
    <w:rsid w:val="3AD47D1B"/>
    <w:rsid w:val="3AD6098F"/>
    <w:rsid w:val="3AF5007B"/>
    <w:rsid w:val="3AFA6D62"/>
    <w:rsid w:val="3AFF2590"/>
    <w:rsid w:val="3AFF57D6"/>
    <w:rsid w:val="3B00033E"/>
    <w:rsid w:val="3B0B0E6B"/>
    <w:rsid w:val="3B0B41BC"/>
    <w:rsid w:val="3B2C0062"/>
    <w:rsid w:val="3B3D2A8B"/>
    <w:rsid w:val="3B4320AE"/>
    <w:rsid w:val="3B493C6D"/>
    <w:rsid w:val="3B602C11"/>
    <w:rsid w:val="3B6C6AA8"/>
    <w:rsid w:val="3B8226F4"/>
    <w:rsid w:val="3B856753"/>
    <w:rsid w:val="3B9151F4"/>
    <w:rsid w:val="3B996B5E"/>
    <w:rsid w:val="3BAF6E31"/>
    <w:rsid w:val="3BB93A0B"/>
    <w:rsid w:val="3BC3049B"/>
    <w:rsid w:val="3BD13CBF"/>
    <w:rsid w:val="3BD25C6F"/>
    <w:rsid w:val="3BDF73ED"/>
    <w:rsid w:val="3BE03244"/>
    <w:rsid w:val="3BE65C98"/>
    <w:rsid w:val="3C133530"/>
    <w:rsid w:val="3C2812FA"/>
    <w:rsid w:val="3C3C205E"/>
    <w:rsid w:val="3C3C36AC"/>
    <w:rsid w:val="3C401130"/>
    <w:rsid w:val="3C4D61DD"/>
    <w:rsid w:val="3C683116"/>
    <w:rsid w:val="3C7C6379"/>
    <w:rsid w:val="3C85510A"/>
    <w:rsid w:val="3C933A62"/>
    <w:rsid w:val="3C940A50"/>
    <w:rsid w:val="3CAE0479"/>
    <w:rsid w:val="3CB13C72"/>
    <w:rsid w:val="3CB32196"/>
    <w:rsid w:val="3CBF5433"/>
    <w:rsid w:val="3CC157AC"/>
    <w:rsid w:val="3CCF1F6C"/>
    <w:rsid w:val="3CEA7761"/>
    <w:rsid w:val="3CF1507A"/>
    <w:rsid w:val="3D0442A3"/>
    <w:rsid w:val="3D144EB5"/>
    <w:rsid w:val="3D150BCE"/>
    <w:rsid w:val="3D187D48"/>
    <w:rsid w:val="3D1E63F8"/>
    <w:rsid w:val="3D3918EB"/>
    <w:rsid w:val="3D3F31D9"/>
    <w:rsid w:val="3D47532D"/>
    <w:rsid w:val="3D4F3C52"/>
    <w:rsid w:val="3D5203B7"/>
    <w:rsid w:val="3D5911EC"/>
    <w:rsid w:val="3D680634"/>
    <w:rsid w:val="3D892F1D"/>
    <w:rsid w:val="3D9A2716"/>
    <w:rsid w:val="3DA47373"/>
    <w:rsid w:val="3DD76846"/>
    <w:rsid w:val="3DDD5CCB"/>
    <w:rsid w:val="3DDE3865"/>
    <w:rsid w:val="3DDE435A"/>
    <w:rsid w:val="3DED7FFC"/>
    <w:rsid w:val="3E0A5CA1"/>
    <w:rsid w:val="3E1214CE"/>
    <w:rsid w:val="3E1B3AE8"/>
    <w:rsid w:val="3E2B46D5"/>
    <w:rsid w:val="3E2C44EF"/>
    <w:rsid w:val="3E374172"/>
    <w:rsid w:val="3E407AAF"/>
    <w:rsid w:val="3E49031A"/>
    <w:rsid w:val="3E5D16C9"/>
    <w:rsid w:val="3E70215F"/>
    <w:rsid w:val="3E8148DC"/>
    <w:rsid w:val="3E880E72"/>
    <w:rsid w:val="3E991B93"/>
    <w:rsid w:val="3EAC7EA5"/>
    <w:rsid w:val="3EAD77C3"/>
    <w:rsid w:val="3EAE766A"/>
    <w:rsid w:val="3ED72730"/>
    <w:rsid w:val="3EDB6476"/>
    <w:rsid w:val="3EEF0F3E"/>
    <w:rsid w:val="3EF1028E"/>
    <w:rsid w:val="3EFD5214"/>
    <w:rsid w:val="3F0624B4"/>
    <w:rsid w:val="3F077DDF"/>
    <w:rsid w:val="3F0B4F07"/>
    <w:rsid w:val="3F0E1669"/>
    <w:rsid w:val="3F13699C"/>
    <w:rsid w:val="3F1E0F42"/>
    <w:rsid w:val="3F29023E"/>
    <w:rsid w:val="3F2E0A6C"/>
    <w:rsid w:val="3F566D4F"/>
    <w:rsid w:val="3F6E1C11"/>
    <w:rsid w:val="3F72429A"/>
    <w:rsid w:val="3F857BAC"/>
    <w:rsid w:val="3F9C1201"/>
    <w:rsid w:val="3F9F2AAB"/>
    <w:rsid w:val="3FB52262"/>
    <w:rsid w:val="3FBB51FD"/>
    <w:rsid w:val="3FD30DCE"/>
    <w:rsid w:val="3FDD1863"/>
    <w:rsid w:val="3FDF0517"/>
    <w:rsid w:val="3FE85AF1"/>
    <w:rsid w:val="3FEA7D47"/>
    <w:rsid w:val="3FEC09EF"/>
    <w:rsid w:val="3FF76099"/>
    <w:rsid w:val="400E5B44"/>
    <w:rsid w:val="40144FC2"/>
    <w:rsid w:val="402A3F8C"/>
    <w:rsid w:val="402B66B0"/>
    <w:rsid w:val="4039062F"/>
    <w:rsid w:val="404B256F"/>
    <w:rsid w:val="405667AB"/>
    <w:rsid w:val="406456C0"/>
    <w:rsid w:val="40676172"/>
    <w:rsid w:val="40811453"/>
    <w:rsid w:val="408F2D97"/>
    <w:rsid w:val="40976CF2"/>
    <w:rsid w:val="40B15F96"/>
    <w:rsid w:val="40B53562"/>
    <w:rsid w:val="40D911E5"/>
    <w:rsid w:val="40DC104A"/>
    <w:rsid w:val="40E15B4C"/>
    <w:rsid w:val="40F3066E"/>
    <w:rsid w:val="40F64E70"/>
    <w:rsid w:val="40F66256"/>
    <w:rsid w:val="410C27AB"/>
    <w:rsid w:val="41106EF9"/>
    <w:rsid w:val="41186E65"/>
    <w:rsid w:val="41296EBD"/>
    <w:rsid w:val="412A2CA8"/>
    <w:rsid w:val="413413F2"/>
    <w:rsid w:val="41480133"/>
    <w:rsid w:val="414E13DD"/>
    <w:rsid w:val="415310B9"/>
    <w:rsid w:val="416707CB"/>
    <w:rsid w:val="41BE30B6"/>
    <w:rsid w:val="41CF5D45"/>
    <w:rsid w:val="41D4132C"/>
    <w:rsid w:val="41D66391"/>
    <w:rsid w:val="41DC3490"/>
    <w:rsid w:val="41E71869"/>
    <w:rsid w:val="41ED34DB"/>
    <w:rsid w:val="41FB071F"/>
    <w:rsid w:val="41FB396B"/>
    <w:rsid w:val="41FF58AA"/>
    <w:rsid w:val="42063E8A"/>
    <w:rsid w:val="420F5524"/>
    <w:rsid w:val="422A0DF1"/>
    <w:rsid w:val="42405B28"/>
    <w:rsid w:val="42454D63"/>
    <w:rsid w:val="4260451A"/>
    <w:rsid w:val="42607B7E"/>
    <w:rsid w:val="426F6EDE"/>
    <w:rsid w:val="42772E2C"/>
    <w:rsid w:val="4278399C"/>
    <w:rsid w:val="427E1343"/>
    <w:rsid w:val="42830C60"/>
    <w:rsid w:val="42B0063B"/>
    <w:rsid w:val="42C21272"/>
    <w:rsid w:val="42C611FC"/>
    <w:rsid w:val="42D57A9E"/>
    <w:rsid w:val="42E54F1C"/>
    <w:rsid w:val="42EC4DB6"/>
    <w:rsid w:val="42F16B4A"/>
    <w:rsid w:val="42FF3308"/>
    <w:rsid w:val="432108C3"/>
    <w:rsid w:val="43263574"/>
    <w:rsid w:val="43307F1C"/>
    <w:rsid w:val="43402D5E"/>
    <w:rsid w:val="434D7868"/>
    <w:rsid w:val="434F66D4"/>
    <w:rsid w:val="43511733"/>
    <w:rsid w:val="4351703E"/>
    <w:rsid w:val="4355607A"/>
    <w:rsid w:val="435D69BF"/>
    <w:rsid w:val="436D5AF1"/>
    <w:rsid w:val="4376632B"/>
    <w:rsid w:val="437A29FC"/>
    <w:rsid w:val="437D24C8"/>
    <w:rsid w:val="437E4858"/>
    <w:rsid w:val="4381444E"/>
    <w:rsid w:val="43836AC7"/>
    <w:rsid w:val="438A017C"/>
    <w:rsid w:val="43920DF2"/>
    <w:rsid w:val="43953FB4"/>
    <w:rsid w:val="43B86559"/>
    <w:rsid w:val="43BB0A06"/>
    <w:rsid w:val="43C05A5C"/>
    <w:rsid w:val="43C56045"/>
    <w:rsid w:val="43D0316A"/>
    <w:rsid w:val="43DD1D55"/>
    <w:rsid w:val="43E54394"/>
    <w:rsid w:val="43ED5657"/>
    <w:rsid w:val="43FC2D44"/>
    <w:rsid w:val="442021E0"/>
    <w:rsid w:val="442E18F0"/>
    <w:rsid w:val="4469573A"/>
    <w:rsid w:val="446E5E60"/>
    <w:rsid w:val="44957F1E"/>
    <w:rsid w:val="4499374D"/>
    <w:rsid w:val="44A36E19"/>
    <w:rsid w:val="44A608CF"/>
    <w:rsid w:val="44B11B75"/>
    <w:rsid w:val="44B16C23"/>
    <w:rsid w:val="44B21DBD"/>
    <w:rsid w:val="44BB21C9"/>
    <w:rsid w:val="44C602E4"/>
    <w:rsid w:val="44CC3757"/>
    <w:rsid w:val="44CC73E5"/>
    <w:rsid w:val="44D03DA9"/>
    <w:rsid w:val="44EB16C8"/>
    <w:rsid w:val="44EB72D4"/>
    <w:rsid w:val="44EE2122"/>
    <w:rsid w:val="44FA1D37"/>
    <w:rsid w:val="44FF1A07"/>
    <w:rsid w:val="45081879"/>
    <w:rsid w:val="452D64E8"/>
    <w:rsid w:val="452E2315"/>
    <w:rsid w:val="453750D5"/>
    <w:rsid w:val="453C26CC"/>
    <w:rsid w:val="45483417"/>
    <w:rsid w:val="45500BBE"/>
    <w:rsid w:val="45501452"/>
    <w:rsid w:val="455425B6"/>
    <w:rsid w:val="455A248C"/>
    <w:rsid w:val="457D137A"/>
    <w:rsid w:val="459A7B4C"/>
    <w:rsid w:val="459F1FFC"/>
    <w:rsid w:val="45A31D47"/>
    <w:rsid w:val="45A355A1"/>
    <w:rsid w:val="45A41D98"/>
    <w:rsid w:val="45C70F48"/>
    <w:rsid w:val="45CF7A7C"/>
    <w:rsid w:val="45E74339"/>
    <w:rsid w:val="45F11B52"/>
    <w:rsid w:val="45F46782"/>
    <w:rsid w:val="45FA5C33"/>
    <w:rsid w:val="46021798"/>
    <w:rsid w:val="461F79F0"/>
    <w:rsid w:val="46215FA8"/>
    <w:rsid w:val="46222520"/>
    <w:rsid w:val="46245F34"/>
    <w:rsid w:val="46390E7F"/>
    <w:rsid w:val="463B0E1C"/>
    <w:rsid w:val="463F7473"/>
    <w:rsid w:val="46454EEA"/>
    <w:rsid w:val="464772CE"/>
    <w:rsid w:val="465507DB"/>
    <w:rsid w:val="46644F9D"/>
    <w:rsid w:val="466821F1"/>
    <w:rsid w:val="466B56DF"/>
    <w:rsid w:val="46730A28"/>
    <w:rsid w:val="467D0CF1"/>
    <w:rsid w:val="467D28D5"/>
    <w:rsid w:val="46825E54"/>
    <w:rsid w:val="46850550"/>
    <w:rsid w:val="46A538A9"/>
    <w:rsid w:val="46B12272"/>
    <w:rsid w:val="46B362DF"/>
    <w:rsid w:val="46B40D27"/>
    <w:rsid w:val="46C82389"/>
    <w:rsid w:val="46CB241D"/>
    <w:rsid w:val="46CC087A"/>
    <w:rsid w:val="46D23360"/>
    <w:rsid w:val="46D705C3"/>
    <w:rsid w:val="46EA6EEC"/>
    <w:rsid w:val="46ED3C30"/>
    <w:rsid w:val="46F22457"/>
    <w:rsid w:val="47053B39"/>
    <w:rsid w:val="470C5AE1"/>
    <w:rsid w:val="470F742A"/>
    <w:rsid w:val="471268F1"/>
    <w:rsid w:val="471F651A"/>
    <w:rsid w:val="47255246"/>
    <w:rsid w:val="4730693B"/>
    <w:rsid w:val="4757216E"/>
    <w:rsid w:val="475C7354"/>
    <w:rsid w:val="4767160D"/>
    <w:rsid w:val="476B51B7"/>
    <w:rsid w:val="477E1625"/>
    <w:rsid w:val="47834B5F"/>
    <w:rsid w:val="47883B4F"/>
    <w:rsid w:val="478B5794"/>
    <w:rsid w:val="478C0EAC"/>
    <w:rsid w:val="47935F3D"/>
    <w:rsid w:val="47A5423F"/>
    <w:rsid w:val="47B10686"/>
    <w:rsid w:val="47BD5AA4"/>
    <w:rsid w:val="47C92BEE"/>
    <w:rsid w:val="47CB47E9"/>
    <w:rsid w:val="47D253E2"/>
    <w:rsid w:val="47D95A70"/>
    <w:rsid w:val="47E44C17"/>
    <w:rsid w:val="48024CC0"/>
    <w:rsid w:val="4809147B"/>
    <w:rsid w:val="480C2C39"/>
    <w:rsid w:val="480D7400"/>
    <w:rsid w:val="481274A6"/>
    <w:rsid w:val="4813770E"/>
    <w:rsid w:val="48173639"/>
    <w:rsid w:val="481A408D"/>
    <w:rsid w:val="481A52D0"/>
    <w:rsid w:val="481B4307"/>
    <w:rsid w:val="48217B28"/>
    <w:rsid w:val="48350A88"/>
    <w:rsid w:val="486C67F8"/>
    <w:rsid w:val="48724931"/>
    <w:rsid w:val="487932C9"/>
    <w:rsid w:val="48913510"/>
    <w:rsid w:val="48A865B6"/>
    <w:rsid w:val="48C04B42"/>
    <w:rsid w:val="48C17787"/>
    <w:rsid w:val="48C3452F"/>
    <w:rsid w:val="48CD1A2A"/>
    <w:rsid w:val="48CE4FF3"/>
    <w:rsid w:val="48D03AD1"/>
    <w:rsid w:val="48E632DA"/>
    <w:rsid w:val="490A08CC"/>
    <w:rsid w:val="49103CF6"/>
    <w:rsid w:val="49120F07"/>
    <w:rsid w:val="49165CAF"/>
    <w:rsid w:val="49181CAA"/>
    <w:rsid w:val="492A2117"/>
    <w:rsid w:val="49373563"/>
    <w:rsid w:val="4938215A"/>
    <w:rsid w:val="493E57D3"/>
    <w:rsid w:val="494E5CA4"/>
    <w:rsid w:val="4954646C"/>
    <w:rsid w:val="49596A76"/>
    <w:rsid w:val="495B1C69"/>
    <w:rsid w:val="496F515E"/>
    <w:rsid w:val="497419F8"/>
    <w:rsid w:val="498465BB"/>
    <w:rsid w:val="49866D83"/>
    <w:rsid w:val="49A5262C"/>
    <w:rsid w:val="49AA0648"/>
    <w:rsid w:val="49D03C6C"/>
    <w:rsid w:val="49DD6642"/>
    <w:rsid w:val="49E577FA"/>
    <w:rsid w:val="4A0E1D43"/>
    <w:rsid w:val="4A5A677F"/>
    <w:rsid w:val="4A602DBE"/>
    <w:rsid w:val="4A673656"/>
    <w:rsid w:val="4A790848"/>
    <w:rsid w:val="4A885CDE"/>
    <w:rsid w:val="4A8B5540"/>
    <w:rsid w:val="4AA35DE9"/>
    <w:rsid w:val="4ACC3C01"/>
    <w:rsid w:val="4B0035E1"/>
    <w:rsid w:val="4B1B54C0"/>
    <w:rsid w:val="4B3952AA"/>
    <w:rsid w:val="4B5D4B04"/>
    <w:rsid w:val="4B611097"/>
    <w:rsid w:val="4B65594F"/>
    <w:rsid w:val="4B6C3753"/>
    <w:rsid w:val="4B7C4DC5"/>
    <w:rsid w:val="4B8B54D5"/>
    <w:rsid w:val="4BBB1741"/>
    <w:rsid w:val="4BC342F5"/>
    <w:rsid w:val="4BC65A70"/>
    <w:rsid w:val="4BCA1880"/>
    <w:rsid w:val="4BD70885"/>
    <w:rsid w:val="4BEA21C0"/>
    <w:rsid w:val="4BFA0524"/>
    <w:rsid w:val="4C092269"/>
    <w:rsid w:val="4C146041"/>
    <w:rsid w:val="4C1705E5"/>
    <w:rsid w:val="4C1934BE"/>
    <w:rsid w:val="4C1A5CE7"/>
    <w:rsid w:val="4C2878D3"/>
    <w:rsid w:val="4C2B3B09"/>
    <w:rsid w:val="4C2B4AF0"/>
    <w:rsid w:val="4C2C4DB1"/>
    <w:rsid w:val="4C3555CD"/>
    <w:rsid w:val="4C467C66"/>
    <w:rsid w:val="4C54593B"/>
    <w:rsid w:val="4C56273C"/>
    <w:rsid w:val="4C681771"/>
    <w:rsid w:val="4C753E3C"/>
    <w:rsid w:val="4C7E1183"/>
    <w:rsid w:val="4C8A0E11"/>
    <w:rsid w:val="4C8D0A7E"/>
    <w:rsid w:val="4C933D0C"/>
    <w:rsid w:val="4C9F2128"/>
    <w:rsid w:val="4CA03D64"/>
    <w:rsid w:val="4CA22B1F"/>
    <w:rsid w:val="4CA91650"/>
    <w:rsid w:val="4CB7532A"/>
    <w:rsid w:val="4CCA2519"/>
    <w:rsid w:val="4CD456AD"/>
    <w:rsid w:val="4CE06282"/>
    <w:rsid w:val="4CF029F3"/>
    <w:rsid w:val="4CF55E6F"/>
    <w:rsid w:val="4CF6390B"/>
    <w:rsid w:val="4CFC0A6C"/>
    <w:rsid w:val="4D087329"/>
    <w:rsid w:val="4D0E072B"/>
    <w:rsid w:val="4D380FE1"/>
    <w:rsid w:val="4D3A5F48"/>
    <w:rsid w:val="4D3B6488"/>
    <w:rsid w:val="4D3E2842"/>
    <w:rsid w:val="4D4853EB"/>
    <w:rsid w:val="4D5D6102"/>
    <w:rsid w:val="4D791540"/>
    <w:rsid w:val="4D860348"/>
    <w:rsid w:val="4D8B68B9"/>
    <w:rsid w:val="4D902336"/>
    <w:rsid w:val="4DA11CB5"/>
    <w:rsid w:val="4DAA1742"/>
    <w:rsid w:val="4DB20A2C"/>
    <w:rsid w:val="4DBD72AB"/>
    <w:rsid w:val="4DC146F6"/>
    <w:rsid w:val="4DC75B2D"/>
    <w:rsid w:val="4DC955A2"/>
    <w:rsid w:val="4DCF7019"/>
    <w:rsid w:val="4DDF1DA8"/>
    <w:rsid w:val="4DE3056D"/>
    <w:rsid w:val="4DEE33B0"/>
    <w:rsid w:val="4E0B2DF6"/>
    <w:rsid w:val="4E186CAD"/>
    <w:rsid w:val="4E212081"/>
    <w:rsid w:val="4E256704"/>
    <w:rsid w:val="4E287040"/>
    <w:rsid w:val="4E2B7F1C"/>
    <w:rsid w:val="4E2F16A9"/>
    <w:rsid w:val="4E366FF0"/>
    <w:rsid w:val="4E3E1C1A"/>
    <w:rsid w:val="4E4A771D"/>
    <w:rsid w:val="4E4B7565"/>
    <w:rsid w:val="4E4D04A2"/>
    <w:rsid w:val="4E50587E"/>
    <w:rsid w:val="4E52468C"/>
    <w:rsid w:val="4E647078"/>
    <w:rsid w:val="4E6A14FD"/>
    <w:rsid w:val="4E6F400F"/>
    <w:rsid w:val="4E787889"/>
    <w:rsid w:val="4EA51377"/>
    <w:rsid w:val="4EAE38FB"/>
    <w:rsid w:val="4EB35964"/>
    <w:rsid w:val="4EC8286D"/>
    <w:rsid w:val="4ECB1049"/>
    <w:rsid w:val="4ECB5727"/>
    <w:rsid w:val="4ED41A20"/>
    <w:rsid w:val="4ED93B6C"/>
    <w:rsid w:val="4EE13564"/>
    <w:rsid w:val="4EF44802"/>
    <w:rsid w:val="4EFA1846"/>
    <w:rsid w:val="4EFC7613"/>
    <w:rsid w:val="4F010297"/>
    <w:rsid w:val="4F0B46B7"/>
    <w:rsid w:val="4F0D5BAC"/>
    <w:rsid w:val="4F0F7C9F"/>
    <w:rsid w:val="4F15640D"/>
    <w:rsid w:val="4F362DA0"/>
    <w:rsid w:val="4F3D2240"/>
    <w:rsid w:val="4F3F3DC7"/>
    <w:rsid w:val="4F456332"/>
    <w:rsid w:val="4F4731B4"/>
    <w:rsid w:val="4F474C16"/>
    <w:rsid w:val="4F4F41A7"/>
    <w:rsid w:val="4F546411"/>
    <w:rsid w:val="4F6A6C80"/>
    <w:rsid w:val="4F77598F"/>
    <w:rsid w:val="4F7D0627"/>
    <w:rsid w:val="4F8119E9"/>
    <w:rsid w:val="4F892BBF"/>
    <w:rsid w:val="4F8C0A43"/>
    <w:rsid w:val="4F97236E"/>
    <w:rsid w:val="4F9E7C8C"/>
    <w:rsid w:val="4FB00FEC"/>
    <w:rsid w:val="4FB34428"/>
    <w:rsid w:val="4FB432A6"/>
    <w:rsid w:val="4FBB527D"/>
    <w:rsid w:val="4FC025BE"/>
    <w:rsid w:val="4FC227D0"/>
    <w:rsid w:val="4FD2140B"/>
    <w:rsid w:val="4FDE478D"/>
    <w:rsid w:val="4FE22732"/>
    <w:rsid w:val="4FEF0DFB"/>
    <w:rsid w:val="4FF33E67"/>
    <w:rsid w:val="50026687"/>
    <w:rsid w:val="50033E4B"/>
    <w:rsid w:val="5010253A"/>
    <w:rsid w:val="50202EC7"/>
    <w:rsid w:val="502C0726"/>
    <w:rsid w:val="50370E07"/>
    <w:rsid w:val="503A167B"/>
    <w:rsid w:val="504E20F8"/>
    <w:rsid w:val="505412C6"/>
    <w:rsid w:val="50572A55"/>
    <w:rsid w:val="505F6C1F"/>
    <w:rsid w:val="507745C1"/>
    <w:rsid w:val="50775433"/>
    <w:rsid w:val="508C5DA1"/>
    <w:rsid w:val="509128DB"/>
    <w:rsid w:val="509C1FFD"/>
    <w:rsid w:val="50B936B3"/>
    <w:rsid w:val="50CB3AB3"/>
    <w:rsid w:val="50D27C59"/>
    <w:rsid w:val="50DC242B"/>
    <w:rsid w:val="50DD30D4"/>
    <w:rsid w:val="50DF5351"/>
    <w:rsid w:val="50EE62BB"/>
    <w:rsid w:val="51040DF6"/>
    <w:rsid w:val="510C5D22"/>
    <w:rsid w:val="51143CA1"/>
    <w:rsid w:val="513B40AA"/>
    <w:rsid w:val="51527FEE"/>
    <w:rsid w:val="51586929"/>
    <w:rsid w:val="515C688C"/>
    <w:rsid w:val="51654B74"/>
    <w:rsid w:val="51707E00"/>
    <w:rsid w:val="51905C93"/>
    <w:rsid w:val="51C92981"/>
    <w:rsid w:val="51C9694E"/>
    <w:rsid w:val="51E1099D"/>
    <w:rsid w:val="51E77437"/>
    <w:rsid w:val="51F265C8"/>
    <w:rsid w:val="521B71DA"/>
    <w:rsid w:val="521C4EDC"/>
    <w:rsid w:val="521D2E92"/>
    <w:rsid w:val="5220228E"/>
    <w:rsid w:val="522F0499"/>
    <w:rsid w:val="52487722"/>
    <w:rsid w:val="524B013C"/>
    <w:rsid w:val="52521758"/>
    <w:rsid w:val="525B6E0F"/>
    <w:rsid w:val="526858AA"/>
    <w:rsid w:val="526C7BED"/>
    <w:rsid w:val="52722079"/>
    <w:rsid w:val="52764936"/>
    <w:rsid w:val="527751D6"/>
    <w:rsid w:val="52784937"/>
    <w:rsid w:val="527D72FA"/>
    <w:rsid w:val="5285536F"/>
    <w:rsid w:val="52883238"/>
    <w:rsid w:val="52963451"/>
    <w:rsid w:val="52972F71"/>
    <w:rsid w:val="52983335"/>
    <w:rsid w:val="529E552A"/>
    <w:rsid w:val="52AF65E4"/>
    <w:rsid w:val="52BD354D"/>
    <w:rsid w:val="52C36D6A"/>
    <w:rsid w:val="52C81EA5"/>
    <w:rsid w:val="52CE3511"/>
    <w:rsid w:val="52F418EC"/>
    <w:rsid w:val="530067C5"/>
    <w:rsid w:val="5303676E"/>
    <w:rsid w:val="531D272B"/>
    <w:rsid w:val="533415C0"/>
    <w:rsid w:val="53461C91"/>
    <w:rsid w:val="534F1C4D"/>
    <w:rsid w:val="535E75EC"/>
    <w:rsid w:val="536846E4"/>
    <w:rsid w:val="53757C73"/>
    <w:rsid w:val="537876E4"/>
    <w:rsid w:val="53806299"/>
    <w:rsid w:val="53826108"/>
    <w:rsid w:val="53BF03D0"/>
    <w:rsid w:val="53E42763"/>
    <w:rsid w:val="53F626CF"/>
    <w:rsid w:val="53FF00DB"/>
    <w:rsid w:val="540A1799"/>
    <w:rsid w:val="54100B28"/>
    <w:rsid w:val="54166520"/>
    <w:rsid w:val="541960C3"/>
    <w:rsid w:val="541D698B"/>
    <w:rsid w:val="54236ED6"/>
    <w:rsid w:val="5425127B"/>
    <w:rsid w:val="54340004"/>
    <w:rsid w:val="54410877"/>
    <w:rsid w:val="544C48DE"/>
    <w:rsid w:val="54550FAA"/>
    <w:rsid w:val="54582E82"/>
    <w:rsid w:val="54783557"/>
    <w:rsid w:val="549D4BDA"/>
    <w:rsid w:val="549F222C"/>
    <w:rsid w:val="549F4EBE"/>
    <w:rsid w:val="54A51FB7"/>
    <w:rsid w:val="54B220EE"/>
    <w:rsid w:val="54B47EB1"/>
    <w:rsid w:val="54D9256A"/>
    <w:rsid w:val="54E2125A"/>
    <w:rsid w:val="550338DF"/>
    <w:rsid w:val="55293BB3"/>
    <w:rsid w:val="55A4347D"/>
    <w:rsid w:val="55A64480"/>
    <w:rsid w:val="55A75E51"/>
    <w:rsid w:val="55C22BEE"/>
    <w:rsid w:val="55DE4DC2"/>
    <w:rsid w:val="55E05C6C"/>
    <w:rsid w:val="55E81346"/>
    <w:rsid w:val="55EA7D72"/>
    <w:rsid w:val="55ED7906"/>
    <w:rsid w:val="55EE0702"/>
    <w:rsid w:val="55F75BE1"/>
    <w:rsid w:val="55FA4F74"/>
    <w:rsid w:val="560C020E"/>
    <w:rsid w:val="561C59B9"/>
    <w:rsid w:val="561C7399"/>
    <w:rsid w:val="562560D9"/>
    <w:rsid w:val="56323BF0"/>
    <w:rsid w:val="563325AE"/>
    <w:rsid w:val="56335C5E"/>
    <w:rsid w:val="56525215"/>
    <w:rsid w:val="56583C18"/>
    <w:rsid w:val="567E4B0D"/>
    <w:rsid w:val="5680203C"/>
    <w:rsid w:val="56824B30"/>
    <w:rsid w:val="56B41B71"/>
    <w:rsid w:val="56B7298D"/>
    <w:rsid w:val="56CB69B8"/>
    <w:rsid w:val="56DF7986"/>
    <w:rsid w:val="56E81904"/>
    <w:rsid w:val="56EE150F"/>
    <w:rsid w:val="56FC4A0F"/>
    <w:rsid w:val="570E618D"/>
    <w:rsid w:val="571473B2"/>
    <w:rsid w:val="57151091"/>
    <w:rsid w:val="571F7D26"/>
    <w:rsid w:val="57263383"/>
    <w:rsid w:val="57372EC2"/>
    <w:rsid w:val="573A69CF"/>
    <w:rsid w:val="573B1AF9"/>
    <w:rsid w:val="57411C09"/>
    <w:rsid w:val="57443CA1"/>
    <w:rsid w:val="57600C47"/>
    <w:rsid w:val="57627005"/>
    <w:rsid w:val="57850944"/>
    <w:rsid w:val="57902473"/>
    <w:rsid w:val="5794522F"/>
    <w:rsid w:val="579B6789"/>
    <w:rsid w:val="57B4342B"/>
    <w:rsid w:val="57BD6483"/>
    <w:rsid w:val="57EB41DF"/>
    <w:rsid w:val="57EC4D38"/>
    <w:rsid w:val="57F1161E"/>
    <w:rsid w:val="58000E9C"/>
    <w:rsid w:val="581104DF"/>
    <w:rsid w:val="58152BB3"/>
    <w:rsid w:val="583E3B02"/>
    <w:rsid w:val="58431815"/>
    <w:rsid w:val="5850313E"/>
    <w:rsid w:val="585156B3"/>
    <w:rsid w:val="585B4D73"/>
    <w:rsid w:val="5880388F"/>
    <w:rsid w:val="58806C0F"/>
    <w:rsid w:val="588F1C04"/>
    <w:rsid w:val="588F4B12"/>
    <w:rsid w:val="589A056C"/>
    <w:rsid w:val="58AE46FA"/>
    <w:rsid w:val="58B3410F"/>
    <w:rsid w:val="58B70BE1"/>
    <w:rsid w:val="58BB3E68"/>
    <w:rsid w:val="58CA0BDA"/>
    <w:rsid w:val="58D03991"/>
    <w:rsid w:val="58F9023A"/>
    <w:rsid w:val="58FE1781"/>
    <w:rsid w:val="5924183C"/>
    <w:rsid w:val="592C3F8F"/>
    <w:rsid w:val="59373124"/>
    <w:rsid w:val="593F777D"/>
    <w:rsid w:val="594B06E4"/>
    <w:rsid w:val="5955060F"/>
    <w:rsid w:val="59583B3A"/>
    <w:rsid w:val="59724DEE"/>
    <w:rsid w:val="5996031F"/>
    <w:rsid w:val="59C02AFF"/>
    <w:rsid w:val="59C206D8"/>
    <w:rsid w:val="59C67F57"/>
    <w:rsid w:val="59DC3B6E"/>
    <w:rsid w:val="59E62AC3"/>
    <w:rsid w:val="59E702EB"/>
    <w:rsid w:val="59E75A6C"/>
    <w:rsid w:val="5A067D04"/>
    <w:rsid w:val="5A15264C"/>
    <w:rsid w:val="5A1C78C0"/>
    <w:rsid w:val="5A2724F5"/>
    <w:rsid w:val="5A3F7634"/>
    <w:rsid w:val="5A473636"/>
    <w:rsid w:val="5A5C3F75"/>
    <w:rsid w:val="5A6C709D"/>
    <w:rsid w:val="5A7A11E5"/>
    <w:rsid w:val="5A7D168B"/>
    <w:rsid w:val="5A83045E"/>
    <w:rsid w:val="5A9C6E6F"/>
    <w:rsid w:val="5AA2365C"/>
    <w:rsid w:val="5AAC3332"/>
    <w:rsid w:val="5ACD216B"/>
    <w:rsid w:val="5AE93670"/>
    <w:rsid w:val="5B01443B"/>
    <w:rsid w:val="5B0C7044"/>
    <w:rsid w:val="5B0E7E80"/>
    <w:rsid w:val="5B2A56FB"/>
    <w:rsid w:val="5B316FDB"/>
    <w:rsid w:val="5B32016A"/>
    <w:rsid w:val="5B42178E"/>
    <w:rsid w:val="5B4D183C"/>
    <w:rsid w:val="5B64030D"/>
    <w:rsid w:val="5B7E3BAF"/>
    <w:rsid w:val="5B833976"/>
    <w:rsid w:val="5B8A73CA"/>
    <w:rsid w:val="5B8F2630"/>
    <w:rsid w:val="5B995342"/>
    <w:rsid w:val="5B9A7865"/>
    <w:rsid w:val="5BA95743"/>
    <w:rsid w:val="5BAD327C"/>
    <w:rsid w:val="5BAE37C4"/>
    <w:rsid w:val="5BAF5FF8"/>
    <w:rsid w:val="5BB8712B"/>
    <w:rsid w:val="5BC62F85"/>
    <w:rsid w:val="5BC7143A"/>
    <w:rsid w:val="5BCE2D90"/>
    <w:rsid w:val="5BCE6961"/>
    <w:rsid w:val="5BF0057A"/>
    <w:rsid w:val="5BF45E0B"/>
    <w:rsid w:val="5C0D5892"/>
    <w:rsid w:val="5C12651D"/>
    <w:rsid w:val="5C1635F5"/>
    <w:rsid w:val="5C1A36CF"/>
    <w:rsid w:val="5C1B7F60"/>
    <w:rsid w:val="5C1F1C7F"/>
    <w:rsid w:val="5C220672"/>
    <w:rsid w:val="5C2E3756"/>
    <w:rsid w:val="5C304ADC"/>
    <w:rsid w:val="5C335AB8"/>
    <w:rsid w:val="5C34586F"/>
    <w:rsid w:val="5C417492"/>
    <w:rsid w:val="5C503E54"/>
    <w:rsid w:val="5C7A375E"/>
    <w:rsid w:val="5C7C488B"/>
    <w:rsid w:val="5C7D3074"/>
    <w:rsid w:val="5C803D8C"/>
    <w:rsid w:val="5C833500"/>
    <w:rsid w:val="5C886402"/>
    <w:rsid w:val="5C8C7E4E"/>
    <w:rsid w:val="5C8D47A0"/>
    <w:rsid w:val="5C907D8C"/>
    <w:rsid w:val="5C915E6B"/>
    <w:rsid w:val="5C97128D"/>
    <w:rsid w:val="5C9E2FD0"/>
    <w:rsid w:val="5CB0738B"/>
    <w:rsid w:val="5CB56E6D"/>
    <w:rsid w:val="5CBA542D"/>
    <w:rsid w:val="5CBF24F4"/>
    <w:rsid w:val="5CC00575"/>
    <w:rsid w:val="5CC16C5F"/>
    <w:rsid w:val="5CC53D5A"/>
    <w:rsid w:val="5CDE2C5D"/>
    <w:rsid w:val="5CFA0063"/>
    <w:rsid w:val="5D1D200A"/>
    <w:rsid w:val="5D1F09F8"/>
    <w:rsid w:val="5D210F80"/>
    <w:rsid w:val="5D2370E6"/>
    <w:rsid w:val="5D23744F"/>
    <w:rsid w:val="5D2F2FCF"/>
    <w:rsid w:val="5D374CBA"/>
    <w:rsid w:val="5D4A0E07"/>
    <w:rsid w:val="5D4C1BA8"/>
    <w:rsid w:val="5D52151A"/>
    <w:rsid w:val="5D593459"/>
    <w:rsid w:val="5D6D65DF"/>
    <w:rsid w:val="5D7947D7"/>
    <w:rsid w:val="5D7B3B21"/>
    <w:rsid w:val="5D9F2D4A"/>
    <w:rsid w:val="5DA334DC"/>
    <w:rsid w:val="5DBB474E"/>
    <w:rsid w:val="5DC0337C"/>
    <w:rsid w:val="5DD3316A"/>
    <w:rsid w:val="5DD630AA"/>
    <w:rsid w:val="5DD7161A"/>
    <w:rsid w:val="5DD76F88"/>
    <w:rsid w:val="5DDE5652"/>
    <w:rsid w:val="5DE577D4"/>
    <w:rsid w:val="5DE84AC3"/>
    <w:rsid w:val="5DF03749"/>
    <w:rsid w:val="5E216154"/>
    <w:rsid w:val="5E237EFD"/>
    <w:rsid w:val="5E2C0489"/>
    <w:rsid w:val="5E3478C6"/>
    <w:rsid w:val="5E361EB7"/>
    <w:rsid w:val="5E363384"/>
    <w:rsid w:val="5E4B147F"/>
    <w:rsid w:val="5E5000EE"/>
    <w:rsid w:val="5E511C6A"/>
    <w:rsid w:val="5E546B68"/>
    <w:rsid w:val="5E58273B"/>
    <w:rsid w:val="5E6818A1"/>
    <w:rsid w:val="5E6C0DAC"/>
    <w:rsid w:val="5E7605A8"/>
    <w:rsid w:val="5E77479F"/>
    <w:rsid w:val="5E7870FE"/>
    <w:rsid w:val="5E7E6DA7"/>
    <w:rsid w:val="5E842D33"/>
    <w:rsid w:val="5E894CFB"/>
    <w:rsid w:val="5E907DEF"/>
    <w:rsid w:val="5E9D518C"/>
    <w:rsid w:val="5EA22932"/>
    <w:rsid w:val="5ED06C4A"/>
    <w:rsid w:val="5EED4832"/>
    <w:rsid w:val="5EEF35C1"/>
    <w:rsid w:val="5EF32486"/>
    <w:rsid w:val="5EF921F9"/>
    <w:rsid w:val="5EFC4FC8"/>
    <w:rsid w:val="5F2536C3"/>
    <w:rsid w:val="5F305983"/>
    <w:rsid w:val="5F3409C0"/>
    <w:rsid w:val="5F3A0C4F"/>
    <w:rsid w:val="5F3D39A8"/>
    <w:rsid w:val="5F3D468A"/>
    <w:rsid w:val="5F4B2A80"/>
    <w:rsid w:val="5F620B09"/>
    <w:rsid w:val="5F723629"/>
    <w:rsid w:val="5F7F12DC"/>
    <w:rsid w:val="5F8B6908"/>
    <w:rsid w:val="5F985821"/>
    <w:rsid w:val="5F9E5F6A"/>
    <w:rsid w:val="5FA14F48"/>
    <w:rsid w:val="5FA45250"/>
    <w:rsid w:val="5FA939C3"/>
    <w:rsid w:val="5FAD71B3"/>
    <w:rsid w:val="5FC03E89"/>
    <w:rsid w:val="5FC24433"/>
    <w:rsid w:val="5FD41EF5"/>
    <w:rsid w:val="5FD46E42"/>
    <w:rsid w:val="5FDB798A"/>
    <w:rsid w:val="5FDC4E90"/>
    <w:rsid w:val="5FE62D96"/>
    <w:rsid w:val="5FFD4BFD"/>
    <w:rsid w:val="60114EC3"/>
    <w:rsid w:val="60116360"/>
    <w:rsid w:val="601A0269"/>
    <w:rsid w:val="601A70AD"/>
    <w:rsid w:val="601E7107"/>
    <w:rsid w:val="602765FA"/>
    <w:rsid w:val="60290891"/>
    <w:rsid w:val="602E7A99"/>
    <w:rsid w:val="603E1BC7"/>
    <w:rsid w:val="60671C89"/>
    <w:rsid w:val="606D7281"/>
    <w:rsid w:val="60897775"/>
    <w:rsid w:val="6090702F"/>
    <w:rsid w:val="60931AD1"/>
    <w:rsid w:val="60AC421F"/>
    <w:rsid w:val="60BB44B6"/>
    <w:rsid w:val="60BD7778"/>
    <w:rsid w:val="60C47A59"/>
    <w:rsid w:val="60CE7984"/>
    <w:rsid w:val="60F03B25"/>
    <w:rsid w:val="60F12351"/>
    <w:rsid w:val="60FA6E9E"/>
    <w:rsid w:val="60FB50B1"/>
    <w:rsid w:val="60FB5AC3"/>
    <w:rsid w:val="6106316A"/>
    <w:rsid w:val="610B72EE"/>
    <w:rsid w:val="610F1FC1"/>
    <w:rsid w:val="611D53ED"/>
    <w:rsid w:val="61240434"/>
    <w:rsid w:val="612955D6"/>
    <w:rsid w:val="614C0712"/>
    <w:rsid w:val="614E002F"/>
    <w:rsid w:val="61576209"/>
    <w:rsid w:val="617165D7"/>
    <w:rsid w:val="61810B01"/>
    <w:rsid w:val="6192243B"/>
    <w:rsid w:val="61974394"/>
    <w:rsid w:val="619819B5"/>
    <w:rsid w:val="61A044A0"/>
    <w:rsid w:val="61A13B4A"/>
    <w:rsid w:val="61A16669"/>
    <w:rsid w:val="61A34121"/>
    <w:rsid w:val="61BE46C5"/>
    <w:rsid w:val="61C44F68"/>
    <w:rsid w:val="61C634D0"/>
    <w:rsid w:val="61D87089"/>
    <w:rsid w:val="61EF2775"/>
    <w:rsid w:val="61F04A29"/>
    <w:rsid w:val="61F13CE7"/>
    <w:rsid w:val="62275BE9"/>
    <w:rsid w:val="62275CDB"/>
    <w:rsid w:val="622E47C5"/>
    <w:rsid w:val="62336657"/>
    <w:rsid w:val="623A340E"/>
    <w:rsid w:val="623D3610"/>
    <w:rsid w:val="62475D18"/>
    <w:rsid w:val="624D68E9"/>
    <w:rsid w:val="625479EB"/>
    <w:rsid w:val="625C17F9"/>
    <w:rsid w:val="62667AEA"/>
    <w:rsid w:val="62790E6D"/>
    <w:rsid w:val="627915C3"/>
    <w:rsid w:val="627C1354"/>
    <w:rsid w:val="629C3D16"/>
    <w:rsid w:val="629C60E4"/>
    <w:rsid w:val="62A546E7"/>
    <w:rsid w:val="62AD13B3"/>
    <w:rsid w:val="62B434F5"/>
    <w:rsid w:val="62C341FF"/>
    <w:rsid w:val="62E95227"/>
    <w:rsid w:val="62FD23E7"/>
    <w:rsid w:val="62FF3E37"/>
    <w:rsid w:val="63094524"/>
    <w:rsid w:val="630C1047"/>
    <w:rsid w:val="631275D0"/>
    <w:rsid w:val="63183272"/>
    <w:rsid w:val="631B019F"/>
    <w:rsid w:val="631E1BE8"/>
    <w:rsid w:val="631F74B2"/>
    <w:rsid w:val="63267639"/>
    <w:rsid w:val="63293E94"/>
    <w:rsid w:val="6333153B"/>
    <w:rsid w:val="63386806"/>
    <w:rsid w:val="63442B89"/>
    <w:rsid w:val="636B32E2"/>
    <w:rsid w:val="636D179D"/>
    <w:rsid w:val="63732E74"/>
    <w:rsid w:val="637953F6"/>
    <w:rsid w:val="63825135"/>
    <w:rsid w:val="63884170"/>
    <w:rsid w:val="638E2D5B"/>
    <w:rsid w:val="639C23C1"/>
    <w:rsid w:val="639C7CAA"/>
    <w:rsid w:val="63A16D59"/>
    <w:rsid w:val="63AF60DD"/>
    <w:rsid w:val="63BA0303"/>
    <w:rsid w:val="63BB701D"/>
    <w:rsid w:val="63C11BFC"/>
    <w:rsid w:val="63C372DB"/>
    <w:rsid w:val="63C96D92"/>
    <w:rsid w:val="63D96028"/>
    <w:rsid w:val="63E56B91"/>
    <w:rsid w:val="63E66544"/>
    <w:rsid w:val="63F65BF9"/>
    <w:rsid w:val="63FD22F5"/>
    <w:rsid w:val="63FF55E1"/>
    <w:rsid w:val="64025FE6"/>
    <w:rsid w:val="64094F04"/>
    <w:rsid w:val="641703C5"/>
    <w:rsid w:val="64192FDF"/>
    <w:rsid w:val="64217BE9"/>
    <w:rsid w:val="64362834"/>
    <w:rsid w:val="64394E3D"/>
    <w:rsid w:val="643E0D59"/>
    <w:rsid w:val="64413EA8"/>
    <w:rsid w:val="64615566"/>
    <w:rsid w:val="648F6B8B"/>
    <w:rsid w:val="64927DBA"/>
    <w:rsid w:val="64951E9E"/>
    <w:rsid w:val="64A80137"/>
    <w:rsid w:val="64AD683B"/>
    <w:rsid w:val="64C41528"/>
    <w:rsid w:val="64D1750C"/>
    <w:rsid w:val="64D721A5"/>
    <w:rsid w:val="64DF73E1"/>
    <w:rsid w:val="64E14800"/>
    <w:rsid w:val="64E14CFF"/>
    <w:rsid w:val="64E7662A"/>
    <w:rsid w:val="64EC050E"/>
    <w:rsid w:val="64F4371E"/>
    <w:rsid w:val="65014076"/>
    <w:rsid w:val="6505005E"/>
    <w:rsid w:val="652F6F85"/>
    <w:rsid w:val="65311657"/>
    <w:rsid w:val="653C3BD1"/>
    <w:rsid w:val="65516FAF"/>
    <w:rsid w:val="65523A1E"/>
    <w:rsid w:val="656275F4"/>
    <w:rsid w:val="656E2594"/>
    <w:rsid w:val="657555CB"/>
    <w:rsid w:val="657C6F16"/>
    <w:rsid w:val="65987F5A"/>
    <w:rsid w:val="659E1AC2"/>
    <w:rsid w:val="65B2680A"/>
    <w:rsid w:val="65C72F60"/>
    <w:rsid w:val="65CD0FD6"/>
    <w:rsid w:val="65E32B43"/>
    <w:rsid w:val="65F22C89"/>
    <w:rsid w:val="65F61D08"/>
    <w:rsid w:val="65FB3703"/>
    <w:rsid w:val="66067596"/>
    <w:rsid w:val="66121BA4"/>
    <w:rsid w:val="66160833"/>
    <w:rsid w:val="662402C9"/>
    <w:rsid w:val="662D7907"/>
    <w:rsid w:val="662E1FE4"/>
    <w:rsid w:val="66616F65"/>
    <w:rsid w:val="666344C6"/>
    <w:rsid w:val="66857D85"/>
    <w:rsid w:val="6699759D"/>
    <w:rsid w:val="669B33CA"/>
    <w:rsid w:val="66A30C31"/>
    <w:rsid w:val="66BB3C58"/>
    <w:rsid w:val="66C13BBB"/>
    <w:rsid w:val="66CB60F4"/>
    <w:rsid w:val="66CF7962"/>
    <w:rsid w:val="66DE0DB2"/>
    <w:rsid w:val="66DF44FC"/>
    <w:rsid w:val="66DF53EC"/>
    <w:rsid w:val="66E21918"/>
    <w:rsid w:val="67071542"/>
    <w:rsid w:val="671F45A4"/>
    <w:rsid w:val="672E18D1"/>
    <w:rsid w:val="67333D73"/>
    <w:rsid w:val="673815E2"/>
    <w:rsid w:val="67441FA2"/>
    <w:rsid w:val="674531CD"/>
    <w:rsid w:val="6765530E"/>
    <w:rsid w:val="67830EFB"/>
    <w:rsid w:val="67870B93"/>
    <w:rsid w:val="67877049"/>
    <w:rsid w:val="679338AF"/>
    <w:rsid w:val="67A25CA8"/>
    <w:rsid w:val="67C556FC"/>
    <w:rsid w:val="67E4636B"/>
    <w:rsid w:val="67E50E0A"/>
    <w:rsid w:val="68074E97"/>
    <w:rsid w:val="680C5BFB"/>
    <w:rsid w:val="680E2ED2"/>
    <w:rsid w:val="68182E1E"/>
    <w:rsid w:val="683012AB"/>
    <w:rsid w:val="683205F9"/>
    <w:rsid w:val="6837381A"/>
    <w:rsid w:val="6839178D"/>
    <w:rsid w:val="683A1EC8"/>
    <w:rsid w:val="683A6182"/>
    <w:rsid w:val="6850731D"/>
    <w:rsid w:val="68522CDC"/>
    <w:rsid w:val="6857537B"/>
    <w:rsid w:val="685D7590"/>
    <w:rsid w:val="686154C0"/>
    <w:rsid w:val="686F5312"/>
    <w:rsid w:val="68735E25"/>
    <w:rsid w:val="687640FE"/>
    <w:rsid w:val="687F550A"/>
    <w:rsid w:val="688447DA"/>
    <w:rsid w:val="68AB3806"/>
    <w:rsid w:val="68C61F03"/>
    <w:rsid w:val="68C761F9"/>
    <w:rsid w:val="68CD5E3D"/>
    <w:rsid w:val="68E069A0"/>
    <w:rsid w:val="68E817BC"/>
    <w:rsid w:val="68F47810"/>
    <w:rsid w:val="68FA789E"/>
    <w:rsid w:val="69040824"/>
    <w:rsid w:val="69063AD4"/>
    <w:rsid w:val="69086763"/>
    <w:rsid w:val="691F021B"/>
    <w:rsid w:val="692C29BB"/>
    <w:rsid w:val="692D1EA4"/>
    <w:rsid w:val="69411DC1"/>
    <w:rsid w:val="69411E1A"/>
    <w:rsid w:val="694A1939"/>
    <w:rsid w:val="694E6CF5"/>
    <w:rsid w:val="694F7BD1"/>
    <w:rsid w:val="69590D7C"/>
    <w:rsid w:val="695D77DF"/>
    <w:rsid w:val="69604ACB"/>
    <w:rsid w:val="696109C9"/>
    <w:rsid w:val="69790AFF"/>
    <w:rsid w:val="69857FCC"/>
    <w:rsid w:val="699E1DCD"/>
    <w:rsid w:val="69B12712"/>
    <w:rsid w:val="69B13FA9"/>
    <w:rsid w:val="69FD2A4C"/>
    <w:rsid w:val="69FE4E12"/>
    <w:rsid w:val="6A127639"/>
    <w:rsid w:val="6A271E41"/>
    <w:rsid w:val="6A2B51D7"/>
    <w:rsid w:val="6A3D09C5"/>
    <w:rsid w:val="6A3D455B"/>
    <w:rsid w:val="6A4179F8"/>
    <w:rsid w:val="6A455354"/>
    <w:rsid w:val="6A4A35D4"/>
    <w:rsid w:val="6A552778"/>
    <w:rsid w:val="6A606807"/>
    <w:rsid w:val="6A663E3E"/>
    <w:rsid w:val="6A767872"/>
    <w:rsid w:val="6AA95C41"/>
    <w:rsid w:val="6AAC7986"/>
    <w:rsid w:val="6AB55072"/>
    <w:rsid w:val="6ACF0DBD"/>
    <w:rsid w:val="6AD93CCF"/>
    <w:rsid w:val="6AD951FA"/>
    <w:rsid w:val="6ADA105F"/>
    <w:rsid w:val="6AE30D5A"/>
    <w:rsid w:val="6AEC4F8E"/>
    <w:rsid w:val="6B2252C9"/>
    <w:rsid w:val="6B2F4852"/>
    <w:rsid w:val="6B586187"/>
    <w:rsid w:val="6B59658C"/>
    <w:rsid w:val="6B6D662E"/>
    <w:rsid w:val="6B770ED5"/>
    <w:rsid w:val="6B81470D"/>
    <w:rsid w:val="6B8C25FB"/>
    <w:rsid w:val="6B8D441B"/>
    <w:rsid w:val="6B930322"/>
    <w:rsid w:val="6B9663E8"/>
    <w:rsid w:val="6BA24BEF"/>
    <w:rsid w:val="6BA7167B"/>
    <w:rsid w:val="6BB10115"/>
    <w:rsid w:val="6BC35925"/>
    <w:rsid w:val="6BCA7994"/>
    <w:rsid w:val="6BCE3849"/>
    <w:rsid w:val="6BD54183"/>
    <w:rsid w:val="6BDE7DC0"/>
    <w:rsid w:val="6BE77CA9"/>
    <w:rsid w:val="6BED5860"/>
    <w:rsid w:val="6C044912"/>
    <w:rsid w:val="6C046A61"/>
    <w:rsid w:val="6C1B5D87"/>
    <w:rsid w:val="6C200E88"/>
    <w:rsid w:val="6C2772B5"/>
    <w:rsid w:val="6C3614BE"/>
    <w:rsid w:val="6C3E05E1"/>
    <w:rsid w:val="6C4F054B"/>
    <w:rsid w:val="6C5436F6"/>
    <w:rsid w:val="6C565795"/>
    <w:rsid w:val="6C5E5AB6"/>
    <w:rsid w:val="6C687839"/>
    <w:rsid w:val="6C742910"/>
    <w:rsid w:val="6C767019"/>
    <w:rsid w:val="6C827F14"/>
    <w:rsid w:val="6C906590"/>
    <w:rsid w:val="6C9367B3"/>
    <w:rsid w:val="6C953FFE"/>
    <w:rsid w:val="6C9D45E9"/>
    <w:rsid w:val="6CBF5210"/>
    <w:rsid w:val="6CC4229A"/>
    <w:rsid w:val="6CCA7F41"/>
    <w:rsid w:val="6CD1433B"/>
    <w:rsid w:val="6CD2277A"/>
    <w:rsid w:val="6CFB6345"/>
    <w:rsid w:val="6D100246"/>
    <w:rsid w:val="6D155F4B"/>
    <w:rsid w:val="6D16592B"/>
    <w:rsid w:val="6D287E34"/>
    <w:rsid w:val="6D292523"/>
    <w:rsid w:val="6D3222B3"/>
    <w:rsid w:val="6D376C79"/>
    <w:rsid w:val="6D38304B"/>
    <w:rsid w:val="6D513C55"/>
    <w:rsid w:val="6D5C5486"/>
    <w:rsid w:val="6D5D59E4"/>
    <w:rsid w:val="6D754F28"/>
    <w:rsid w:val="6D836CA7"/>
    <w:rsid w:val="6D8C1837"/>
    <w:rsid w:val="6D921E6A"/>
    <w:rsid w:val="6DA720FC"/>
    <w:rsid w:val="6DAB2FBB"/>
    <w:rsid w:val="6DB77D36"/>
    <w:rsid w:val="6DBA0FBE"/>
    <w:rsid w:val="6DBB300F"/>
    <w:rsid w:val="6DC457D9"/>
    <w:rsid w:val="6DCB6C7D"/>
    <w:rsid w:val="6DD53BAB"/>
    <w:rsid w:val="6DEC1B06"/>
    <w:rsid w:val="6DFD3D92"/>
    <w:rsid w:val="6DFE3C43"/>
    <w:rsid w:val="6E016D80"/>
    <w:rsid w:val="6E0607B1"/>
    <w:rsid w:val="6E0C19FC"/>
    <w:rsid w:val="6E11382A"/>
    <w:rsid w:val="6E1D0B54"/>
    <w:rsid w:val="6E286AB7"/>
    <w:rsid w:val="6E3C2BF5"/>
    <w:rsid w:val="6E8133CA"/>
    <w:rsid w:val="6E851D90"/>
    <w:rsid w:val="6EA94D1B"/>
    <w:rsid w:val="6EB41EF2"/>
    <w:rsid w:val="6EBC1372"/>
    <w:rsid w:val="6ED742CD"/>
    <w:rsid w:val="6EDC0308"/>
    <w:rsid w:val="6EDF5C7D"/>
    <w:rsid w:val="6EE16E08"/>
    <w:rsid w:val="6EF1637E"/>
    <w:rsid w:val="6F0002C3"/>
    <w:rsid w:val="6F015143"/>
    <w:rsid w:val="6F04294E"/>
    <w:rsid w:val="6F093295"/>
    <w:rsid w:val="6F182C1F"/>
    <w:rsid w:val="6F1B588E"/>
    <w:rsid w:val="6F24705D"/>
    <w:rsid w:val="6F5D6390"/>
    <w:rsid w:val="6F7E7731"/>
    <w:rsid w:val="6F9B5A89"/>
    <w:rsid w:val="6F9E740F"/>
    <w:rsid w:val="6FB80CCF"/>
    <w:rsid w:val="6FC66F5B"/>
    <w:rsid w:val="6FC91A52"/>
    <w:rsid w:val="6FDC1604"/>
    <w:rsid w:val="6FED68C1"/>
    <w:rsid w:val="6FF023A6"/>
    <w:rsid w:val="6FF1023B"/>
    <w:rsid w:val="6FF93A21"/>
    <w:rsid w:val="700E09FC"/>
    <w:rsid w:val="701E4642"/>
    <w:rsid w:val="7027678D"/>
    <w:rsid w:val="704A5631"/>
    <w:rsid w:val="704B23CF"/>
    <w:rsid w:val="704D6295"/>
    <w:rsid w:val="704F114F"/>
    <w:rsid w:val="7050521C"/>
    <w:rsid w:val="7072737E"/>
    <w:rsid w:val="70773A5A"/>
    <w:rsid w:val="707D4550"/>
    <w:rsid w:val="70821197"/>
    <w:rsid w:val="709E3009"/>
    <w:rsid w:val="70A10E6D"/>
    <w:rsid w:val="70BD5D7E"/>
    <w:rsid w:val="70C5014D"/>
    <w:rsid w:val="70D85130"/>
    <w:rsid w:val="70DC325A"/>
    <w:rsid w:val="70ED20D3"/>
    <w:rsid w:val="70F77FF2"/>
    <w:rsid w:val="71086B92"/>
    <w:rsid w:val="71215A66"/>
    <w:rsid w:val="713D7093"/>
    <w:rsid w:val="71522E06"/>
    <w:rsid w:val="71531F14"/>
    <w:rsid w:val="715D559D"/>
    <w:rsid w:val="71696436"/>
    <w:rsid w:val="716A1C25"/>
    <w:rsid w:val="716A7016"/>
    <w:rsid w:val="71842452"/>
    <w:rsid w:val="71883640"/>
    <w:rsid w:val="719018A0"/>
    <w:rsid w:val="719676BA"/>
    <w:rsid w:val="71A85F02"/>
    <w:rsid w:val="71A91F3D"/>
    <w:rsid w:val="71B93167"/>
    <w:rsid w:val="71C8684B"/>
    <w:rsid w:val="71CF5F0C"/>
    <w:rsid w:val="71D026C6"/>
    <w:rsid w:val="71D84BAB"/>
    <w:rsid w:val="71E65C03"/>
    <w:rsid w:val="71EE4731"/>
    <w:rsid w:val="71EE5645"/>
    <w:rsid w:val="71F75C51"/>
    <w:rsid w:val="721A5CA7"/>
    <w:rsid w:val="722717C4"/>
    <w:rsid w:val="72311455"/>
    <w:rsid w:val="7235597F"/>
    <w:rsid w:val="723F5B01"/>
    <w:rsid w:val="724D51AF"/>
    <w:rsid w:val="7263446F"/>
    <w:rsid w:val="727662E9"/>
    <w:rsid w:val="7289762F"/>
    <w:rsid w:val="728B3ED5"/>
    <w:rsid w:val="72B160E1"/>
    <w:rsid w:val="72B51D51"/>
    <w:rsid w:val="72C70CCB"/>
    <w:rsid w:val="72D56BC8"/>
    <w:rsid w:val="72E26267"/>
    <w:rsid w:val="72E53394"/>
    <w:rsid w:val="72E7756C"/>
    <w:rsid w:val="72EB4E32"/>
    <w:rsid w:val="72EC7263"/>
    <w:rsid w:val="72F337D1"/>
    <w:rsid w:val="72F86650"/>
    <w:rsid w:val="72F92850"/>
    <w:rsid w:val="73136C3E"/>
    <w:rsid w:val="731D48F5"/>
    <w:rsid w:val="731E041D"/>
    <w:rsid w:val="732653D5"/>
    <w:rsid w:val="732E1C8C"/>
    <w:rsid w:val="735B385A"/>
    <w:rsid w:val="735C467B"/>
    <w:rsid w:val="736841DB"/>
    <w:rsid w:val="736A6673"/>
    <w:rsid w:val="736C0FB1"/>
    <w:rsid w:val="736E577E"/>
    <w:rsid w:val="737E57B9"/>
    <w:rsid w:val="73875B09"/>
    <w:rsid w:val="739D6797"/>
    <w:rsid w:val="739E743E"/>
    <w:rsid w:val="73A72B0B"/>
    <w:rsid w:val="73AC13B0"/>
    <w:rsid w:val="73AC64BF"/>
    <w:rsid w:val="73B401F0"/>
    <w:rsid w:val="73B6756E"/>
    <w:rsid w:val="73B928F2"/>
    <w:rsid w:val="73CA0FBB"/>
    <w:rsid w:val="73D115A0"/>
    <w:rsid w:val="73D47860"/>
    <w:rsid w:val="740366D1"/>
    <w:rsid w:val="740A4FD7"/>
    <w:rsid w:val="742278D4"/>
    <w:rsid w:val="7424335B"/>
    <w:rsid w:val="74292A57"/>
    <w:rsid w:val="742B1A03"/>
    <w:rsid w:val="74303828"/>
    <w:rsid w:val="74447BFC"/>
    <w:rsid w:val="744C76B4"/>
    <w:rsid w:val="745357A8"/>
    <w:rsid w:val="745401DA"/>
    <w:rsid w:val="745A1D70"/>
    <w:rsid w:val="74630226"/>
    <w:rsid w:val="746705DF"/>
    <w:rsid w:val="74687FBD"/>
    <w:rsid w:val="7473282D"/>
    <w:rsid w:val="74734474"/>
    <w:rsid w:val="747627B3"/>
    <w:rsid w:val="748623F1"/>
    <w:rsid w:val="748C2829"/>
    <w:rsid w:val="74977B98"/>
    <w:rsid w:val="749D7F05"/>
    <w:rsid w:val="74A5098D"/>
    <w:rsid w:val="74A66A13"/>
    <w:rsid w:val="74B226AE"/>
    <w:rsid w:val="74B60141"/>
    <w:rsid w:val="74B81ED1"/>
    <w:rsid w:val="74BE719F"/>
    <w:rsid w:val="74BE74AB"/>
    <w:rsid w:val="74D60861"/>
    <w:rsid w:val="74F77E15"/>
    <w:rsid w:val="74F9786C"/>
    <w:rsid w:val="74FE6A1A"/>
    <w:rsid w:val="74FE7A89"/>
    <w:rsid w:val="75013F46"/>
    <w:rsid w:val="751E7B84"/>
    <w:rsid w:val="75470CEA"/>
    <w:rsid w:val="754A41CF"/>
    <w:rsid w:val="75530CB6"/>
    <w:rsid w:val="75592499"/>
    <w:rsid w:val="758247DE"/>
    <w:rsid w:val="75920DFB"/>
    <w:rsid w:val="75A65115"/>
    <w:rsid w:val="75B94B19"/>
    <w:rsid w:val="75BF3143"/>
    <w:rsid w:val="75CA7001"/>
    <w:rsid w:val="75D747AC"/>
    <w:rsid w:val="75EC16C9"/>
    <w:rsid w:val="760625EA"/>
    <w:rsid w:val="76125C14"/>
    <w:rsid w:val="76215297"/>
    <w:rsid w:val="76233E0A"/>
    <w:rsid w:val="763A1CC0"/>
    <w:rsid w:val="763D4673"/>
    <w:rsid w:val="765D5CEB"/>
    <w:rsid w:val="765F4FC3"/>
    <w:rsid w:val="7673098E"/>
    <w:rsid w:val="76830438"/>
    <w:rsid w:val="76847425"/>
    <w:rsid w:val="76873C7B"/>
    <w:rsid w:val="76A840B8"/>
    <w:rsid w:val="76AC0AFC"/>
    <w:rsid w:val="76AC45F7"/>
    <w:rsid w:val="76B12410"/>
    <w:rsid w:val="76B4717B"/>
    <w:rsid w:val="76BB3ACA"/>
    <w:rsid w:val="76BC4A3D"/>
    <w:rsid w:val="76BF765F"/>
    <w:rsid w:val="76C725F6"/>
    <w:rsid w:val="76CC1E78"/>
    <w:rsid w:val="76EA2940"/>
    <w:rsid w:val="76EE23B7"/>
    <w:rsid w:val="77284A14"/>
    <w:rsid w:val="7730159D"/>
    <w:rsid w:val="77330642"/>
    <w:rsid w:val="774962BD"/>
    <w:rsid w:val="77531A62"/>
    <w:rsid w:val="77701517"/>
    <w:rsid w:val="77702453"/>
    <w:rsid w:val="77752FD1"/>
    <w:rsid w:val="778E3F78"/>
    <w:rsid w:val="77964BC0"/>
    <w:rsid w:val="77AC254C"/>
    <w:rsid w:val="77CC203B"/>
    <w:rsid w:val="77F1285A"/>
    <w:rsid w:val="7803306C"/>
    <w:rsid w:val="781B6E40"/>
    <w:rsid w:val="78276A19"/>
    <w:rsid w:val="7846124B"/>
    <w:rsid w:val="78552D0F"/>
    <w:rsid w:val="78574E38"/>
    <w:rsid w:val="786D523F"/>
    <w:rsid w:val="786F4F75"/>
    <w:rsid w:val="78942307"/>
    <w:rsid w:val="78995CFA"/>
    <w:rsid w:val="789D63D5"/>
    <w:rsid w:val="78A3353A"/>
    <w:rsid w:val="78AF37CB"/>
    <w:rsid w:val="78BC71CA"/>
    <w:rsid w:val="78C7389B"/>
    <w:rsid w:val="78DA7587"/>
    <w:rsid w:val="78E177A8"/>
    <w:rsid w:val="78F2700E"/>
    <w:rsid w:val="79237EE6"/>
    <w:rsid w:val="79304EC3"/>
    <w:rsid w:val="79324E4D"/>
    <w:rsid w:val="79412857"/>
    <w:rsid w:val="794408E2"/>
    <w:rsid w:val="79476DEC"/>
    <w:rsid w:val="79524E05"/>
    <w:rsid w:val="796A2C66"/>
    <w:rsid w:val="79734E04"/>
    <w:rsid w:val="79760DC2"/>
    <w:rsid w:val="7977520B"/>
    <w:rsid w:val="797E57B5"/>
    <w:rsid w:val="79934929"/>
    <w:rsid w:val="79BC0A44"/>
    <w:rsid w:val="79BF0C4D"/>
    <w:rsid w:val="79BF4F5E"/>
    <w:rsid w:val="79C41F11"/>
    <w:rsid w:val="79F20C6B"/>
    <w:rsid w:val="79F3700D"/>
    <w:rsid w:val="79F37404"/>
    <w:rsid w:val="79F67185"/>
    <w:rsid w:val="7A100548"/>
    <w:rsid w:val="7A105EB1"/>
    <w:rsid w:val="7A115178"/>
    <w:rsid w:val="7A124A93"/>
    <w:rsid w:val="7A1614BE"/>
    <w:rsid w:val="7A357739"/>
    <w:rsid w:val="7A416D33"/>
    <w:rsid w:val="7A466577"/>
    <w:rsid w:val="7A70060F"/>
    <w:rsid w:val="7A744F62"/>
    <w:rsid w:val="7A7632E8"/>
    <w:rsid w:val="7A884EFB"/>
    <w:rsid w:val="7A8E6F60"/>
    <w:rsid w:val="7A9F35F2"/>
    <w:rsid w:val="7AA25B59"/>
    <w:rsid w:val="7ACA4B4F"/>
    <w:rsid w:val="7ACC6011"/>
    <w:rsid w:val="7ACF2C91"/>
    <w:rsid w:val="7AE40C68"/>
    <w:rsid w:val="7AF0462B"/>
    <w:rsid w:val="7AFF6321"/>
    <w:rsid w:val="7B263E27"/>
    <w:rsid w:val="7B2E6033"/>
    <w:rsid w:val="7B3910E4"/>
    <w:rsid w:val="7B495181"/>
    <w:rsid w:val="7B5608BB"/>
    <w:rsid w:val="7B5B5A95"/>
    <w:rsid w:val="7B6156FD"/>
    <w:rsid w:val="7B681237"/>
    <w:rsid w:val="7B6A7C77"/>
    <w:rsid w:val="7B6B25B8"/>
    <w:rsid w:val="7B6D0BB5"/>
    <w:rsid w:val="7B7956A0"/>
    <w:rsid w:val="7B7D093A"/>
    <w:rsid w:val="7B7F7DC2"/>
    <w:rsid w:val="7B84793A"/>
    <w:rsid w:val="7B8C46C1"/>
    <w:rsid w:val="7B8F34AC"/>
    <w:rsid w:val="7B9214E6"/>
    <w:rsid w:val="7BA06C6B"/>
    <w:rsid w:val="7BA25E31"/>
    <w:rsid w:val="7BAB3E06"/>
    <w:rsid w:val="7BB56643"/>
    <w:rsid w:val="7BBA6A48"/>
    <w:rsid w:val="7BBD0A1E"/>
    <w:rsid w:val="7BBD436E"/>
    <w:rsid w:val="7BC0702A"/>
    <w:rsid w:val="7BCC4AE2"/>
    <w:rsid w:val="7BCE6013"/>
    <w:rsid w:val="7BCF2801"/>
    <w:rsid w:val="7BDF7411"/>
    <w:rsid w:val="7BEE7499"/>
    <w:rsid w:val="7BFE5411"/>
    <w:rsid w:val="7C1A207E"/>
    <w:rsid w:val="7C3C202E"/>
    <w:rsid w:val="7C446AE7"/>
    <w:rsid w:val="7C45002C"/>
    <w:rsid w:val="7C4D29C5"/>
    <w:rsid w:val="7C4E00DB"/>
    <w:rsid w:val="7C500E2C"/>
    <w:rsid w:val="7C513472"/>
    <w:rsid w:val="7C53157E"/>
    <w:rsid w:val="7C633078"/>
    <w:rsid w:val="7C636257"/>
    <w:rsid w:val="7C720F59"/>
    <w:rsid w:val="7C737518"/>
    <w:rsid w:val="7C883D12"/>
    <w:rsid w:val="7C962567"/>
    <w:rsid w:val="7CAB0DC7"/>
    <w:rsid w:val="7CBF0D21"/>
    <w:rsid w:val="7CCE7FAE"/>
    <w:rsid w:val="7CCF26AF"/>
    <w:rsid w:val="7CD4010B"/>
    <w:rsid w:val="7CE048D3"/>
    <w:rsid w:val="7CE944C1"/>
    <w:rsid w:val="7CEA58C8"/>
    <w:rsid w:val="7D032FA8"/>
    <w:rsid w:val="7D1B4277"/>
    <w:rsid w:val="7D1C2A7D"/>
    <w:rsid w:val="7D1E4A0A"/>
    <w:rsid w:val="7D2813B1"/>
    <w:rsid w:val="7D317952"/>
    <w:rsid w:val="7D3D5563"/>
    <w:rsid w:val="7D40032E"/>
    <w:rsid w:val="7D436AC8"/>
    <w:rsid w:val="7D5B67C5"/>
    <w:rsid w:val="7D6675B7"/>
    <w:rsid w:val="7D671F63"/>
    <w:rsid w:val="7D732247"/>
    <w:rsid w:val="7D745D0B"/>
    <w:rsid w:val="7D847213"/>
    <w:rsid w:val="7D8876D1"/>
    <w:rsid w:val="7D945BFF"/>
    <w:rsid w:val="7D9775C5"/>
    <w:rsid w:val="7D99016D"/>
    <w:rsid w:val="7D9D3FCD"/>
    <w:rsid w:val="7DA911B8"/>
    <w:rsid w:val="7DAA6592"/>
    <w:rsid w:val="7DAB48E1"/>
    <w:rsid w:val="7DAC6BA3"/>
    <w:rsid w:val="7DAF363D"/>
    <w:rsid w:val="7DB91885"/>
    <w:rsid w:val="7DBF47BB"/>
    <w:rsid w:val="7DC50B11"/>
    <w:rsid w:val="7DC53646"/>
    <w:rsid w:val="7DD071E2"/>
    <w:rsid w:val="7DE51296"/>
    <w:rsid w:val="7DEC01BD"/>
    <w:rsid w:val="7DF066DE"/>
    <w:rsid w:val="7E077CA5"/>
    <w:rsid w:val="7E0A1308"/>
    <w:rsid w:val="7E1D3F02"/>
    <w:rsid w:val="7E1F134C"/>
    <w:rsid w:val="7E223F2C"/>
    <w:rsid w:val="7E24305B"/>
    <w:rsid w:val="7E2E7ED8"/>
    <w:rsid w:val="7E2F63DE"/>
    <w:rsid w:val="7E466710"/>
    <w:rsid w:val="7E763C3A"/>
    <w:rsid w:val="7E7E4510"/>
    <w:rsid w:val="7E885032"/>
    <w:rsid w:val="7EA26FFB"/>
    <w:rsid w:val="7EA7294F"/>
    <w:rsid w:val="7EAD7095"/>
    <w:rsid w:val="7EB71A91"/>
    <w:rsid w:val="7EBB75A1"/>
    <w:rsid w:val="7EC72EFB"/>
    <w:rsid w:val="7ECB34D7"/>
    <w:rsid w:val="7ECC173B"/>
    <w:rsid w:val="7ECD3806"/>
    <w:rsid w:val="7EDF0129"/>
    <w:rsid w:val="7EFD1200"/>
    <w:rsid w:val="7F1F7A90"/>
    <w:rsid w:val="7F3806AA"/>
    <w:rsid w:val="7F3E4F36"/>
    <w:rsid w:val="7F404CFC"/>
    <w:rsid w:val="7F497728"/>
    <w:rsid w:val="7F4F679A"/>
    <w:rsid w:val="7F555969"/>
    <w:rsid w:val="7F5E7584"/>
    <w:rsid w:val="7F656973"/>
    <w:rsid w:val="7F875857"/>
    <w:rsid w:val="7F8A0518"/>
    <w:rsid w:val="7F915F76"/>
    <w:rsid w:val="7FA00E7E"/>
    <w:rsid w:val="7FD75674"/>
    <w:rsid w:val="7FF255C1"/>
    <w:rsid w:val="7FF8032F"/>
    <w:rsid w:val="7FF8754A"/>
    <w:rsid w:val="7FFD50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nhideWhenUsed="0" w:uiPriority="1" w:semiHidden="0" w:name="heading 9" w:locked="1"/>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7"/>
    <w:autoRedefine/>
    <w:qFormat/>
    <w:uiPriority w:val="9"/>
    <w:pPr>
      <w:keepNext/>
      <w:keepLines/>
      <w:spacing w:before="260" w:after="260" w:line="416" w:lineRule="auto"/>
      <w:jc w:val="center"/>
      <w:outlineLvl w:val="1"/>
    </w:pPr>
    <w:rPr>
      <w:rFonts w:ascii="Cambria" w:hAnsi="Cambria"/>
      <w:b/>
      <w:bCs/>
      <w:kern w:val="0"/>
      <w:sz w:val="32"/>
      <w:szCs w:val="32"/>
    </w:rPr>
  </w:style>
  <w:style w:type="paragraph" w:styleId="4">
    <w:name w:val="heading 4"/>
    <w:basedOn w:val="1"/>
    <w:next w:val="1"/>
    <w:qFormat/>
    <w:locked/>
    <w:uiPriority w:val="0"/>
    <w:pPr>
      <w:spacing w:beforeLines="150" w:afterLines="150"/>
      <w:outlineLvl w:val="3"/>
    </w:pPr>
    <w:rPr>
      <w:rFonts w:ascii="宋体" w:hAnsi="宋体"/>
      <w:color w:val="000000"/>
      <w:sz w:val="24"/>
      <w:szCs w:val="28"/>
      <w:u w:val="single"/>
      <w:lang w:val="en-US" w:eastAsia="zh-CN" w:bidi="ar-SA"/>
    </w:rPr>
  </w:style>
  <w:style w:type="paragraph" w:styleId="5">
    <w:name w:val="heading 9"/>
    <w:basedOn w:val="1"/>
    <w:next w:val="1"/>
    <w:autoRedefine/>
    <w:qFormat/>
    <w:locked/>
    <w:uiPriority w:val="1"/>
    <w:pPr>
      <w:ind w:left="640"/>
      <w:outlineLvl w:val="8"/>
    </w:pPr>
    <w:rPr>
      <w:rFonts w:ascii="宋体" w:hAnsi="宋体" w:cs="宋体"/>
      <w:b/>
      <w:bCs/>
      <w:szCs w:val="21"/>
      <w:lang w:val="zh-CN" w:bidi="zh-CN"/>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99"/>
    <w:pPr>
      <w:ind w:firstLine="420"/>
    </w:pPr>
    <w:rPr>
      <w:rFonts w:ascii="Times New Roman" w:hAnsi="Times New Roman"/>
      <w:kern w:val="0"/>
      <w:sz w:val="20"/>
      <w:szCs w:val="21"/>
    </w:rPr>
  </w:style>
  <w:style w:type="paragraph" w:styleId="7">
    <w:name w:val="Document Map"/>
    <w:basedOn w:val="1"/>
    <w:autoRedefine/>
    <w:unhideWhenUsed/>
    <w:qFormat/>
    <w:uiPriority w:val="99"/>
    <w:rPr>
      <w:rFonts w:ascii="宋体"/>
      <w:sz w:val="18"/>
      <w:szCs w:val="18"/>
    </w:rPr>
  </w:style>
  <w:style w:type="paragraph" w:styleId="8">
    <w:name w:val="annotation text"/>
    <w:basedOn w:val="1"/>
    <w:link w:val="49"/>
    <w:autoRedefine/>
    <w:qFormat/>
    <w:uiPriority w:val="99"/>
    <w:pPr>
      <w:jc w:val="left"/>
    </w:pPr>
    <w:rPr>
      <w:rFonts w:ascii="Times New Roman" w:hAnsi="Times New Roman"/>
      <w:sz w:val="22"/>
    </w:rPr>
  </w:style>
  <w:style w:type="paragraph" w:styleId="9">
    <w:name w:val="Body Text 3"/>
    <w:basedOn w:val="1"/>
    <w:next w:val="1"/>
    <w:autoRedefine/>
    <w:qFormat/>
    <w:uiPriority w:val="0"/>
    <w:pPr>
      <w:spacing w:after="120" w:afterLines="0"/>
    </w:pPr>
    <w:rPr>
      <w:sz w:val="16"/>
      <w:szCs w:val="16"/>
    </w:rPr>
  </w:style>
  <w:style w:type="paragraph" w:styleId="10">
    <w:name w:val="Body Text"/>
    <w:basedOn w:val="1"/>
    <w:next w:val="11"/>
    <w:link w:val="50"/>
    <w:autoRedefine/>
    <w:qFormat/>
    <w:uiPriority w:val="99"/>
    <w:rPr>
      <w:rFonts w:ascii="楷体_GB2312" w:hAnsi="Arial" w:eastAsia="楷体_GB2312"/>
      <w:kern w:val="0"/>
      <w:sz w:val="28"/>
      <w:szCs w:val="28"/>
    </w:rPr>
  </w:style>
  <w:style w:type="paragraph" w:styleId="11">
    <w:name w:val="Body Text 2"/>
    <w:basedOn w:val="1"/>
    <w:autoRedefine/>
    <w:qFormat/>
    <w:uiPriority w:val="0"/>
    <w:pPr>
      <w:spacing w:after="120" w:line="480" w:lineRule="auto"/>
    </w:pPr>
  </w:style>
  <w:style w:type="paragraph" w:styleId="12">
    <w:name w:val="Body Text Indent"/>
    <w:basedOn w:val="1"/>
    <w:next w:val="1"/>
    <w:link w:val="48"/>
    <w:autoRedefine/>
    <w:qFormat/>
    <w:uiPriority w:val="99"/>
    <w:pPr>
      <w:spacing w:line="400" w:lineRule="exact"/>
      <w:ind w:firstLine="540" w:firstLineChars="225"/>
    </w:pPr>
    <w:rPr>
      <w:sz w:val="24"/>
    </w:rPr>
  </w:style>
  <w:style w:type="paragraph" w:styleId="13">
    <w:name w:val="index 4"/>
    <w:basedOn w:val="1"/>
    <w:next w:val="1"/>
    <w:qFormat/>
    <w:uiPriority w:val="0"/>
    <w:pPr>
      <w:ind w:left="600" w:leftChars="600"/>
    </w:pPr>
    <w:rPr>
      <w:rFonts w:ascii="Calibri" w:hAnsi="Calibri" w:eastAsia="宋体" w:cs="Times New Roman"/>
      <w:szCs w:val="22"/>
    </w:rPr>
  </w:style>
  <w:style w:type="paragraph" w:styleId="14">
    <w:name w:val="Plain Text"/>
    <w:basedOn w:val="1"/>
    <w:link w:val="51"/>
    <w:autoRedefine/>
    <w:qFormat/>
    <w:uiPriority w:val="99"/>
    <w:rPr>
      <w:rFonts w:ascii="宋体" w:hAnsi="Courier New"/>
      <w:kern w:val="0"/>
      <w:sz w:val="20"/>
      <w:szCs w:val="21"/>
    </w:rPr>
  </w:style>
  <w:style w:type="paragraph" w:styleId="15">
    <w:name w:val="Date"/>
    <w:basedOn w:val="1"/>
    <w:next w:val="1"/>
    <w:link w:val="52"/>
    <w:autoRedefine/>
    <w:qFormat/>
    <w:uiPriority w:val="99"/>
    <w:rPr>
      <w:rFonts w:ascii="Times New Roman" w:hAnsi="Times New Roman"/>
      <w:kern w:val="0"/>
      <w:sz w:val="24"/>
      <w:szCs w:val="20"/>
    </w:rPr>
  </w:style>
  <w:style w:type="paragraph" w:styleId="16">
    <w:name w:val="Balloon Text"/>
    <w:basedOn w:val="1"/>
    <w:link w:val="53"/>
    <w:autoRedefine/>
    <w:qFormat/>
    <w:uiPriority w:val="99"/>
    <w:rPr>
      <w:rFonts w:ascii="Times New Roman" w:hAnsi="Times New Roman"/>
      <w:sz w:val="18"/>
      <w:szCs w:val="18"/>
    </w:rPr>
  </w:style>
  <w:style w:type="paragraph" w:styleId="17">
    <w:name w:val="footer"/>
    <w:basedOn w:val="1"/>
    <w:link w:val="54"/>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8">
    <w:name w:val="envelope return"/>
    <w:basedOn w:val="1"/>
    <w:autoRedefine/>
    <w:qFormat/>
    <w:uiPriority w:val="0"/>
    <w:pPr>
      <w:snapToGrid w:val="0"/>
    </w:pPr>
    <w:rPr>
      <w:rFonts w:ascii="Arial" w:hAnsi="Arial" w:eastAsia="宋体" w:cs="Times New Roman"/>
    </w:rPr>
  </w:style>
  <w:style w:type="paragraph" w:styleId="19">
    <w:name w:val="header"/>
    <w:basedOn w:val="1"/>
    <w:link w:val="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0">
    <w:name w:val="toc 1"/>
    <w:basedOn w:val="1"/>
    <w:next w:val="1"/>
    <w:autoRedefine/>
    <w:qFormat/>
    <w:uiPriority w:val="99"/>
  </w:style>
  <w:style w:type="paragraph" w:styleId="21">
    <w:name w:val="Subtitle"/>
    <w:basedOn w:val="1"/>
    <w:next w:val="1"/>
    <w:link w:val="56"/>
    <w:autoRedefine/>
    <w:qFormat/>
    <w:uiPriority w:val="11"/>
    <w:pPr>
      <w:spacing w:before="240" w:after="60" w:line="312" w:lineRule="auto"/>
      <w:jc w:val="center"/>
      <w:outlineLvl w:val="1"/>
    </w:pPr>
    <w:rPr>
      <w:rFonts w:ascii="Cambria" w:hAnsi="Cambria"/>
      <w:b/>
      <w:bCs/>
      <w:kern w:val="28"/>
      <w:sz w:val="32"/>
      <w:szCs w:val="32"/>
    </w:rPr>
  </w:style>
  <w:style w:type="paragraph" w:styleId="22">
    <w:name w:val="Body Text Indent 3"/>
    <w:basedOn w:val="1"/>
    <w:autoRedefine/>
    <w:qFormat/>
    <w:uiPriority w:val="0"/>
    <w:pPr>
      <w:spacing w:line="440" w:lineRule="atLeast"/>
      <w:ind w:firstLine="480" w:firstLineChars="200"/>
      <w:jc w:val="left"/>
    </w:pPr>
    <w:rPr>
      <w:sz w:val="24"/>
    </w:rPr>
  </w:style>
  <w:style w:type="paragraph" w:styleId="23">
    <w:name w:val="toc 9"/>
    <w:basedOn w:val="1"/>
    <w:next w:val="1"/>
    <w:qFormat/>
    <w:uiPriority w:val="0"/>
    <w:pPr>
      <w:ind w:left="1680" w:firstLine="5632"/>
    </w:pPr>
  </w:style>
  <w:style w:type="paragraph" w:styleId="24">
    <w:name w:val="Normal (Web)"/>
    <w:basedOn w:val="1"/>
    <w:autoRedefine/>
    <w:qFormat/>
    <w:uiPriority w:val="99"/>
    <w:pPr>
      <w:spacing w:beforeAutospacing="1" w:afterAutospacing="1" w:line="270" w:lineRule="atLeast"/>
      <w:jc w:val="left"/>
    </w:pPr>
    <w:rPr>
      <w:kern w:val="0"/>
      <w:sz w:val="24"/>
    </w:rPr>
  </w:style>
  <w:style w:type="paragraph" w:styleId="25">
    <w:name w:val="index 1"/>
    <w:basedOn w:val="1"/>
    <w:next w:val="1"/>
    <w:autoRedefine/>
    <w:qFormat/>
    <w:uiPriority w:val="0"/>
  </w:style>
  <w:style w:type="paragraph" w:styleId="26">
    <w:name w:val="annotation subject"/>
    <w:basedOn w:val="8"/>
    <w:next w:val="8"/>
    <w:link w:val="57"/>
    <w:autoRedefine/>
    <w:qFormat/>
    <w:uiPriority w:val="99"/>
  </w:style>
  <w:style w:type="paragraph" w:styleId="27">
    <w:name w:val="Body Text First Indent 2"/>
    <w:basedOn w:val="12"/>
    <w:next w:val="1"/>
    <w:autoRedefine/>
    <w:qFormat/>
    <w:uiPriority w:val="0"/>
    <w:pPr>
      <w:ind w:firstLine="420"/>
    </w:p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locked/>
    <w:uiPriority w:val="0"/>
    <w:rPr>
      <w:b/>
    </w:rPr>
  </w:style>
  <w:style w:type="character" w:styleId="32">
    <w:name w:val="page number"/>
    <w:basedOn w:val="30"/>
    <w:autoRedefine/>
    <w:qFormat/>
    <w:uiPriority w:val="0"/>
  </w:style>
  <w:style w:type="character" w:styleId="33">
    <w:name w:val="FollowedHyperlink"/>
    <w:autoRedefine/>
    <w:qFormat/>
    <w:uiPriority w:val="99"/>
    <w:rPr>
      <w:rFonts w:cs="Times New Roman"/>
      <w:color w:val="000000"/>
      <w:u w:val="none"/>
    </w:rPr>
  </w:style>
  <w:style w:type="character" w:styleId="34">
    <w:name w:val="HTML Typewriter"/>
    <w:qFormat/>
    <w:uiPriority w:val="0"/>
    <w:rPr>
      <w:rFonts w:ascii="宋体" w:hAnsi="宋体" w:eastAsia="宋体" w:cs="宋体"/>
      <w:sz w:val="24"/>
      <w:szCs w:val="24"/>
    </w:rPr>
  </w:style>
  <w:style w:type="character" w:styleId="35">
    <w:name w:val="Hyperlink"/>
    <w:autoRedefine/>
    <w:qFormat/>
    <w:uiPriority w:val="99"/>
    <w:rPr>
      <w:rFonts w:cs="Times New Roman"/>
      <w:color w:val="000000"/>
      <w:u w:val="none"/>
    </w:rPr>
  </w:style>
  <w:style w:type="character" w:styleId="36">
    <w:name w:val="annotation reference"/>
    <w:autoRedefine/>
    <w:qFormat/>
    <w:uiPriority w:val="99"/>
    <w:rPr>
      <w:rFonts w:cs="Times New Roman"/>
      <w:sz w:val="21"/>
      <w:szCs w:val="21"/>
    </w:rPr>
  </w:style>
  <w:style w:type="paragraph" w:customStyle="1" w:styleId="37">
    <w:name w:val="正文（缩进）"/>
    <w:basedOn w:val="1"/>
    <w:next w:val="38"/>
    <w:autoRedefine/>
    <w:qFormat/>
    <w:uiPriority w:val="0"/>
    <w:pPr>
      <w:ind w:firstLine="480" w:firstLineChars="200"/>
    </w:pPr>
  </w:style>
  <w:style w:type="paragraph" w:customStyle="1" w:styleId="38">
    <w:name w:val="Char Char Char Char Char Char Char Char Char"/>
    <w:basedOn w:val="1"/>
    <w:next w:val="39"/>
    <w:autoRedefine/>
    <w:qFormat/>
    <w:uiPriority w:val="0"/>
    <w:pPr>
      <w:ind w:left="360" w:firstLine="5784"/>
    </w:pPr>
  </w:style>
  <w:style w:type="paragraph" w:customStyle="1" w:styleId="39">
    <w:name w:val="正文文本 21"/>
    <w:basedOn w:val="1"/>
    <w:next w:val="40"/>
    <w:autoRedefine/>
    <w:qFormat/>
    <w:uiPriority w:val="0"/>
    <w:pPr>
      <w:widowControl/>
      <w:autoSpaceDE w:val="0"/>
      <w:autoSpaceDN w:val="0"/>
      <w:ind w:left="720" w:firstLine="5680"/>
    </w:pPr>
  </w:style>
  <w:style w:type="paragraph" w:customStyle="1" w:styleId="40">
    <w:name w:val="默认段落字体 Para Char Char Char Char Char Char Char"/>
    <w:basedOn w:val="1"/>
    <w:next w:val="41"/>
    <w:autoRedefine/>
    <w:qFormat/>
    <w:uiPriority w:val="0"/>
    <w:pPr>
      <w:ind w:firstLine="5632"/>
    </w:pPr>
  </w:style>
  <w:style w:type="paragraph" w:customStyle="1" w:styleId="41">
    <w:name w:val="样式 首行缩进:  2 字符"/>
    <w:basedOn w:val="1"/>
    <w:next w:val="42"/>
    <w:autoRedefine/>
    <w:qFormat/>
    <w:uiPriority w:val="0"/>
    <w:pPr>
      <w:spacing w:line="360" w:lineRule="auto"/>
      <w:ind w:left="480" w:firstLine="5856"/>
    </w:pPr>
  </w:style>
  <w:style w:type="paragraph" w:customStyle="1" w:styleId="42">
    <w:name w:val="样式 段后: 0.25 行"/>
    <w:basedOn w:val="1"/>
    <w:next w:val="43"/>
    <w:autoRedefine/>
    <w:qFormat/>
    <w:uiPriority w:val="0"/>
    <w:pPr>
      <w:widowControl/>
      <w:spacing w:line="300" w:lineRule="auto"/>
      <w:ind w:left="420" w:firstLine="5796"/>
    </w:pPr>
  </w:style>
  <w:style w:type="paragraph" w:customStyle="1" w:styleId="43">
    <w:name w:val="正文 New New New New New New New New New New New New New New"/>
    <w:next w:val="23"/>
    <w:autoRedefine/>
    <w:qFormat/>
    <w:uiPriority w:val="0"/>
    <w:pPr>
      <w:widowControl w:val="0"/>
      <w:ind w:firstLine="2048"/>
      <w:jc w:val="both"/>
    </w:pPr>
    <w:rPr>
      <w:rFonts w:ascii="Calibri" w:hAnsi="Calibri" w:eastAsia="宋体" w:cs="Times New Roman"/>
      <w:lang w:val="en-US" w:eastAsia="zh-CN" w:bidi="ar-SA"/>
    </w:rPr>
  </w:style>
  <w:style w:type="paragraph" w:customStyle="1" w:styleId="4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段"/>
    <w:next w:val="1"/>
    <w:autoRedefine/>
    <w:qFormat/>
    <w:uiPriority w:val="0"/>
    <w:pPr>
      <w:autoSpaceDE w:val="0"/>
      <w:autoSpaceDN w:val="0"/>
      <w:spacing w:line="360" w:lineRule="auto"/>
      <w:ind w:firstLine="200"/>
      <w:jc w:val="both"/>
    </w:pPr>
    <w:rPr>
      <w:rFonts w:ascii="Calibri" w:hAnsi="Calibri" w:eastAsia="宋体" w:cs="Times New Roman"/>
      <w:sz w:val="24"/>
      <w:lang w:val="en-US" w:eastAsia="zh-CN" w:bidi="ar-SA"/>
    </w:rPr>
  </w:style>
  <w:style w:type="character" w:customStyle="1" w:styleId="46">
    <w:name w:val="标题 1 Char"/>
    <w:link w:val="2"/>
    <w:autoRedefine/>
    <w:qFormat/>
    <w:uiPriority w:val="9"/>
    <w:rPr>
      <w:b/>
      <w:bCs/>
      <w:kern w:val="44"/>
      <w:sz w:val="44"/>
      <w:szCs w:val="44"/>
    </w:rPr>
  </w:style>
  <w:style w:type="character" w:customStyle="1" w:styleId="47">
    <w:name w:val="标题 2 Char"/>
    <w:link w:val="3"/>
    <w:autoRedefine/>
    <w:semiHidden/>
    <w:qFormat/>
    <w:uiPriority w:val="9"/>
    <w:rPr>
      <w:rFonts w:ascii="Cambria" w:hAnsi="Cambria" w:eastAsia="宋体" w:cs="Times New Roman"/>
      <w:b/>
      <w:bCs/>
      <w:sz w:val="32"/>
      <w:szCs w:val="32"/>
    </w:rPr>
  </w:style>
  <w:style w:type="character" w:customStyle="1" w:styleId="48">
    <w:name w:val="正文文本缩进 Char"/>
    <w:basedOn w:val="30"/>
    <w:link w:val="12"/>
    <w:autoRedefine/>
    <w:semiHidden/>
    <w:qFormat/>
    <w:uiPriority w:val="99"/>
  </w:style>
  <w:style w:type="character" w:customStyle="1" w:styleId="49">
    <w:name w:val="批注文字 Char"/>
    <w:link w:val="8"/>
    <w:autoRedefine/>
    <w:qFormat/>
    <w:locked/>
    <w:uiPriority w:val="99"/>
    <w:rPr>
      <w:rFonts w:cs="Times New Roman"/>
      <w:kern w:val="2"/>
      <w:sz w:val="22"/>
      <w:szCs w:val="22"/>
    </w:rPr>
  </w:style>
  <w:style w:type="character" w:customStyle="1" w:styleId="50">
    <w:name w:val="正文文本 Char"/>
    <w:basedOn w:val="30"/>
    <w:link w:val="10"/>
    <w:autoRedefine/>
    <w:semiHidden/>
    <w:qFormat/>
    <w:uiPriority w:val="99"/>
  </w:style>
  <w:style w:type="character" w:customStyle="1" w:styleId="51">
    <w:name w:val="纯文本 Char"/>
    <w:link w:val="14"/>
    <w:autoRedefine/>
    <w:semiHidden/>
    <w:qFormat/>
    <w:uiPriority w:val="99"/>
    <w:rPr>
      <w:rFonts w:ascii="宋体" w:hAnsi="Courier New" w:cs="Courier New"/>
      <w:szCs w:val="21"/>
    </w:rPr>
  </w:style>
  <w:style w:type="character" w:customStyle="1" w:styleId="52">
    <w:name w:val="日期 Char"/>
    <w:basedOn w:val="30"/>
    <w:link w:val="15"/>
    <w:autoRedefine/>
    <w:semiHidden/>
    <w:qFormat/>
    <w:uiPriority w:val="99"/>
  </w:style>
  <w:style w:type="character" w:customStyle="1" w:styleId="53">
    <w:name w:val="批注框文本 Char"/>
    <w:link w:val="16"/>
    <w:autoRedefine/>
    <w:qFormat/>
    <w:locked/>
    <w:uiPriority w:val="99"/>
    <w:rPr>
      <w:rFonts w:cs="Times New Roman"/>
      <w:kern w:val="2"/>
      <w:sz w:val="18"/>
      <w:szCs w:val="18"/>
    </w:rPr>
  </w:style>
  <w:style w:type="character" w:customStyle="1" w:styleId="54">
    <w:name w:val="页脚 Char"/>
    <w:link w:val="17"/>
    <w:autoRedefine/>
    <w:semiHidden/>
    <w:qFormat/>
    <w:uiPriority w:val="99"/>
    <w:rPr>
      <w:sz w:val="18"/>
      <w:szCs w:val="18"/>
    </w:rPr>
  </w:style>
  <w:style w:type="character" w:customStyle="1" w:styleId="55">
    <w:name w:val="页眉 Char"/>
    <w:link w:val="19"/>
    <w:autoRedefine/>
    <w:semiHidden/>
    <w:qFormat/>
    <w:uiPriority w:val="99"/>
    <w:rPr>
      <w:sz w:val="18"/>
      <w:szCs w:val="18"/>
    </w:rPr>
  </w:style>
  <w:style w:type="character" w:customStyle="1" w:styleId="56">
    <w:name w:val="副标题 Char"/>
    <w:link w:val="21"/>
    <w:autoRedefine/>
    <w:qFormat/>
    <w:uiPriority w:val="11"/>
    <w:rPr>
      <w:rFonts w:ascii="Cambria" w:hAnsi="Cambria" w:cs="Times New Roman"/>
      <w:b/>
      <w:bCs/>
      <w:kern w:val="28"/>
      <w:sz w:val="32"/>
      <w:szCs w:val="32"/>
    </w:rPr>
  </w:style>
  <w:style w:type="character" w:customStyle="1" w:styleId="57">
    <w:name w:val="批注主题 Char"/>
    <w:link w:val="26"/>
    <w:autoRedefine/>
    <w:qFormat/>
    <w:locked/>
    <w:uiPriority w:val="99"/>
    <w:rPr>
      <w:rFonts w:cs="Times New Roman"/>
      <w:kern w:val="2"/>
      <w:sz w:val="22"/>
      <w:szCs w:val="22"/>
    </w:rPr>
  </w:style>
  <w:style w:type="paragraph" w:customStyle="1" w:styleId="58">
    <w:name w:val="Char Char"/>
    <w:basedOn w:val="1"/>
    <w:autoRedefine/>
    <w:qFormat/>
    <w:uiPriority w:val="99"/>
    <w:pPr>
      <w:spacing w:line="360" w:lineRule="auto"/>
    </w:pPr>
    <w:rPr>
      <w:rFonts w:ascii="Tahoma" w:hAnsi="Tahoma"/>
      <w:sz w:val="24"/>
      <w:szCs w:val="20"/>
    </w:rPr>
  </w:style>
  <w:style w:type="paragraph" w:customStyle="1" w:styleId="59">
    <w:name w:val="列出段落1"/>
    <w:basedOn w:val="1"/>
    <w:autoRedefine/>
    <w:qFormat/>
    <w:uiPriority w:val="99"/>
    <w:pPr>
      <w:ind w:firstLine="420" w:firstLineChars="200"/>
    </w:pPr>
  </w:style>
  <w:style w:type="paragraph" w:customStyle="1" w:styleId="60">
    <w:name w:val="正文空2格  1."/>
    <w:basedOn w:val="1"/>
    <w:autoRedefine/>
    <w:qFormat/>
    <w:uiPriority w:val="99"/>
    <w:pPr>
      <w:ind w:firstLine="480" w:firstLineChars="200"/>
    </w:pPr>
    <w:rPr>
      <w:rFonts w:cs="宋体"/>
      <w:sz w:val="28"/>
      <w:szCs w:val="20"/>
    </w:rPr>
  </w:style>
  <w:style w:type="paragraph" w:customStyle="1" w:styleId="61">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62">
    <w:name w:val="列出段落11"/>
    <w:basedOn w:val="1"/>
    <w:autoRedefine/>
    <w:qFormat/>
    <w:uiPriority w:val="99"/>
    <w:pPr>
      <w:widowControl/>
      <w:ind w:left="720"/>
      <w:contextualSpacing/>
      <w:jc w:val="left"/>
    </w:pPr>
    <w:rPr>
      <w:kern w:val="0"/>
      <w:sz w:val="24"/>
      <w:szCs w:val="24"/>
      <w:lang w:eastAsia="en-US"/>
    </w:rPr>
  </w:style>
  <w:style w:type="paragraph" w:customStyle="1" w:styleId="63">
    <w:name w:val="Char"/>
    <w:basedOn w:val="1"/>
    <w:autoRedefine/>
    <w:qFormat/>
    <w:uiPriority w:val="99"/>
    <w:pPr>
      <w:tabs>
        <w:tab w:val="left" w:pos="360"/>
      </w:tabs>
      <w:ind w:firstLine="200" w:firstLineChars="200"/>
    </w:pPr>
    <w:rPr>
      <w:rFonts w:ascii="Times New Roman" w:hAnsi="Times New Roman"/>
      <w:sz w:val="28"/>
      <w:szCs w:val="30"/>
    </w:rPr>
  </w:style>
  <w:style w:type="paragraph" w:customStyle="1" w:styleId="64">
    <w:name w:val="p25"/>
    <w:basedOn w:val="1"/>
    <w:autoRedefine/>
    <w:qFormat/>
    <w:uiPriority w:val="99"/>
    <w:pPr>
      <w:snapToGrid w:val="0"/>
    </w:pPr>
    <w:rPr>
      <w:rFonts w:ascii="黑体" w:hAnsi="黑体" w:cs="黑体"/>
      <w:szCs w:val="26"/>
    </w:rPr>
  </w:style>
  <w:style w:type="paragraph" w:customStyle="1" w:styleId="65">
    <w:name w:val="Table Paragraph"/>
    <w:basedOn w:val="1"/>
    <w:autoRedefine/>
    <w:qFormat/>
    <w:uiPriority w:val="1"/>
    <w:rPr>
      <w:rFonts w:ascii="宋体" w:hAnsi="宋体" w:cs="宋体"/>
      <w:lang w:val="zh-CN" w:bidi="zh-CN"/>
    </w:rPr>
  </w:style>
  <w:style w:type="paragraph" w:customStyle="1" w:styleId="66">
    <w:name w:val="Table Text"/>
    <w:basedOn w:val="1"/>
    <w:semiHidden/>
    <w:qFormat/>
    <w:uiPriority w:val="0"/>
    <w:rPr>
      <w:rFonts w:ascii="宋体" w:hAnsi="宋体" w:eastAsia="宋体" w:cs="宋体"/>
      <w:sz w:val="19"/>
      <w:szCs w:val="19"/>
      <w:lang w:val="en-US" w:eastAsia="en-US" w:bidi="ar-SA"/>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MSG_EN_FONT_STYLE_NAME_TEMPLATE_ROLE_NUMBER MSG_EN_FONT_STYLE_NAME_BY_ROLE_TEXT 2"/>
    <w:basedOn w:val="1"/>
    <w:qFormat/>
    <w:uiPriority w:val="99"/>
    <w:pPr>
      <w:shd w:val="clear" w:color="auto" w:fill="FFFFFF"/>
      <w:spacing w:line="380" w:lineRule="exact"/>
      <w:jc w:val="left"/>
    </w:pPr>
    <w:rPr>
      <w:rFonts w:ascii="PMingLiUfalt" w:hAnsi="PMingLiUfalt" w:eastAsia="PMingLiUfalt" w:cs="PMingLiUfalt"/>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33</Pages>
  <Words>13201</Words>
  <Characters>13776</Characters>
  <Lines>204</Lines>
  <Paragraphs>57</Paragraphs>
  <TotalTime>26</TotalTime>
  <ScaleCrop>false</ScaleCrop>
  <LinksUpToDate>false</LinksUpToDate>
  <CharactersWithSpaces>15126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棉花糖</cp:lastModifiedBy>
  <cp:lastPrinted>2022-01-11T08:40:00Z</cp:lastPrinted>
  <dcterms:modified xsi:type="dcterms:W3CDTF">2025-07-09T07:23:21Z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B27DE3DD79B245E19AB60DA9EE32EB54_13</vt:lpwstr>
  </property>
  <property fmtid="{D5CDD505-2E9C-101B-9397-08002B2CF9AE}" pid="4" name="KSOTemplateDocerSaveRecord">
    <vt:lpwstr>eyJoZGlkIjoiY2U3NTFiZDZhYjVhZjI5ZTZhM2E4MDBhMGIyNTk0MzciLCJ1c2VySWQiOiIxMDQwMjkwMjc0In0=</vt:lpwstr>
  </property>
</Properties>
</file>